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D9E0" w14:textId="77777777" w:rsidR="004910AB" w:rsidRPr="00F21AB9" w:rsidRDefault="004910AB" w:rsidP="004910AB">
      <w:pPr>
        <w:pStyle w:val="BodyText"/>
        <w:jc w:val="center"/>
        <w:rPr>
          <w:b/>
          <w:bCs/>
          <w:sz w:val="24"/>
          <w:szCs w:val="24"/>
        </w:rPr>
      </w:pPr>
      <w:r w:rsidRPr="00F21AB9">
        <w:rPr>
          <w:b/>
          <w:bCs/>
          <w:sz w:val="24"/>
          <w:szCs w:val="24"/>
        </w:rPr>
        <w:t>SCHEDULE A – Service Specification</w:t>
      </w:r>
    </w:p>
    <w:p w14:paraId="1BE43D38" w14:textId="77777777" w:rsidR="004910AB" w:rsidRDefault="004910AB" w:rsidP="004910AB">
      <w:pPr>
        <w:pStyle w:val="BodyText"/>
        <w:jc w:val="center"/>
        <w:rPr>
          <w:b/>
          <w:bCs/>
          <w:sz w:val="24"/>
          <w:szCs w:val="24"/>
        </w:rPr>
      </w:pPr>
    </w:p>
    <w:p w14:paraId="1E0D54D4" w14:textId="409A7922" w:rsidR="004910AB" w:rsidRDefault="004910AB" w:rsidP="004910AB">
      <w:pPr>
        <w:pStyle w:val="BodyText"/>
        <w:jc w:val="center"/>
        <w:rPr>
          <w:b/>
          <w:bCs/>
          <w:sz w:val="24"/>
          <w:szCs w:val="24"/>
        </w:rPr>
      </w:pPr>
      <w:r w:rsidRPr="004910AB">
        <w:rPr>
          <w:b/>
          <w:bCs/>
          <w:sz w:val="24"/>
          <w:szCs w:val="24"/>
        </w:rPr>
        <w:t>Supervised consumption of Opiate Substitute Treatment</w:t>
      </w:r>
    </w:p>
    <w:p w14:paraId="2D89323B" w14:textId="77777777" w:rsidR="00E94A4D" w:rsidRDefault="00E94A4D" w:rsidP="00E94A4D">
      <w:pPr>
        <w:pStyle w:val="BodyText"/>
        <w:jc w:val="both"/>
        <w:rPr>
          <w:b/>
          <w:bCs/>
          <w:sz w:val="20"/>
          <w:szCs w:val="20"/>
        </w:rPr>
      </w:pPr>
    </w:p>
    <w:p w14:paraId="29A14CB9" w14:textId="77777777" w:rsidR="00DB48F3" w:rsidRDefault="00DB48F3" w:rsidP="00E94A4D">
      <w:pPr>
        <w:pStyle w:val="BodyText"/>
        <w:jc w:val="both"/>
        <w:rPr>
          <w:b/>
          <w:bCs/>
          <w:sz w:val="20"/>
          <w:szCs w:val="20"/>
        </w:rPr>
      </w:pPr>
    </w:p>
    <w:tbl>
      <w:tblPr>
        <w:tblW w:w="9305"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244"/>
        <w:gridCol w:w="5061"/>
      </w:tblGrid>
      <w:tr w:rsidR="00E94A4D" w:rsidRPr="00A45B48" w14:paraId="1FBF38AC" w14:textId="77777777" w:rsidTr="79EA2E33">
        <w:trPr>
          <w:trHeight w:val="345"/>
        </w:trPr>
        <w:tc>
          <w:tcPr>
            <w:tcW w:w="4129" w:type="dxa"/>
            <w:shd w:val="clear" w:color="auto" w:fill="595959" w:themeFill="text1" w:themeFillTint="A6"/>
            <w:vAlign w:val="center"/>
          </w:tcPr>
          <w:p w14:paraId="0358CAF1" w14:textId="77777777" w:rsidR="00E94A4D" w:rsidRPr="00A45B48" w:rsidRDefault="00E94A4D" w:rsidP="00EB15C2">
            <w:pPr>
              <w:pStyle w:val="BodyText"/>
              <w:rPr>
                <w:color w:val="FFFF00"/>
              </w:rPr>
            </w:pPr>
            <w:r w:rsidRPr="00A45B48">
              <w:rPr>
                <w:color w:val="FFFF00"/>
              </w:rPr>
              <w:t xml:space="preserve">Service Specification No. </w:t>
            </w:r>
          </w:p>
        </w:tc>
        <w:tc>
          <w:tcPr>
            <w:tcW w:w="5176" w:type="dxa"/>
            <w:vAlign w:val="center"/>
          </w:tcPr>
          <w:p w14:paraId="006E3A4C" w14:textId="0598FBB6" w:rsidR="00E94A4D" w:rsidRPr="00A45B48" w:rsidRDefault="00AD7DB4" w:rsidP="00EB15C2">
            <w:pPr>
              <w:pStyle w:val="BodyText"/>
              <w:rPr>
                <w:b/>
                <w:bCs/>
              </w:rPr>
            </w:pPr>
            <w:r w:rsidRPr="3814CDA6">
              <w:rPr>
                <w:b/>
                <w:bCs/>
              </w:rPr>
              <w:t>2</w:t>
            </w:r>
            <w:r w:rsidR="00E67D49" w:rsidRPr="3814CDA6">
              <w:rPr>
                <w:b/>
                <w:bCs/>
              </w:rPr>
              <w:t>6</w:t>
            </w:r>
            <w:r w:rsidRPr="3814CDA6">
              <w:rPr>
                <w:b/>
                <w:bCs/>
              </w:rPr>
              <w:t xml:space="preserve"> OST</w:t>
            </w:r>
          </w:p>
        </w:tc>
      </w:tr>
      <w:tr w:rsidR="00E94A4D" w:rsidRPr="00A45B48" w14:paraId="719C9E98" w14:textId="77777777" w:rsidTr="79EA2E33">
        <w:trPr>
          <w:trHeight w:val="345"/>
        </w:trPr>
        <w:tc>
          <w:tcPr>
            <w:tcW w:w="4129" w:type="dxa"/>
            <w:shd w:val="clear" w:color="auto" w:fill="595959" w:themeFill="text1" w:themeFillTint="A6"/>
            <w:vAlign w:val="center"/>
          </w:tcPr>
          <w:p w14:paraId="34942EA1" w14:textId="77777777" w:rsidR="00E94A4D" w:rsidRPr="00A45B48" w:rsidRDefault="00E94A4D" w:rsidP="00EB15C2">
            <w:pPr>
              <w:pStyle w:val="BodyText"/>
              <w:rPr>
                <w:color w:val="FFFF00"/>
              </w:rPr>
            </w:pPr>
            <w:r w:rsidRPr="00A45B48">
              <w:rPr>
                <w:color w:val="FFFF00"/>
              </w:rPr>
              <w:t>Authority Lead</w:t>
            </w:r>
          </w:p>
        </w:tc>
        <w:tc>
          <w:tcPr>
            <w:tcW w:w="5176" w:type="dxa"/>
            <w:vAlign w:val="center"/>
          </w:tcPr>
          <w:p w14:paraId="6D6AFF2A" w14:textId="16285663" w:rsidR="00E94A4D" w:rsidRPr="00A45B48" w:rsidRDefault="00EB1F60" w:rsidP="00EB15C2">
            <w:pPr>
              <w:pStyle w:val="BodyText"/>
            </w:pPr>
            <w:r>
              <w:t>Fiona Dixon</w:t>
            </w:r>
            <w:r w:rsidR="002824D3">
              <w:t xml:space="preserve">, </w:t>
            </w:r>
          </w:p>
          <w:p w14:paraId="57EA8240" w14:textId="58343D2A" w:rsidR="00E94A4D" w:rsidRPr="00A45B48" w:rsidRDefault="002824D3" w:rsidP="00EB15C2">
            <w:pPr>
              <w:pStyle w:val="BodyText"/>
            </w:pPr>
            <w:r>
              <w:t xml:space="preserve">Substance Use Commissioning Manager, </w:t>
            </w:r>
          </w:p>
          <w:p w14:paraId="0F1A447C" w14:textId="6E076A65" w:rsidR="00E94A4D" w:rsidRPr="00A45B48" w:rsidRDefault="286C3732" w:rsidP="00EB15C2">
            <w:pPr>
              <w:pStyle w:val="BodyText"/>
            </w:pPr>
            <w:r>
              <w:t xml:space="preserve">Health and Care </w:t>
            </w:r>
            <w:r w:rsidR="002824D3">
              <w:t>Public Health</w:t>
            </w:r>
          </w:p>
          <w:p w14:paraId="7E089FC3" w14:textId="2AC80B64" w:rsidR="00E94A4D" w:rsidRPr="00A45B48" w:rsidRDefault="5B20666F" w:rsidP="53A0E0BC">
            <w:pPr>
              <w:pStyle w:val="BodyText"/>
            </w:pPr>
            <w:r>
              <w:t>Healthy &amp; Sustainable Communities</w:t>
            </w:r>
          </w:p>
          <w:p w14:paraId="03E42E46" w14:textId="6BD11774" w:rsidR="00E94A4D" w:rsidRPr="00A45B48" w:rsidRDefault="002824D3" w:rsidP="00EB15C2">
            <w:pPr>
              <w:pStyle w:val="BodyText"/>
            </w:pPr>
            <w:r>
              <w:t>North Somerset Council.</w:t>
            </w:r>
          </w:p>
          <w:p w14:paraId="44FD1FD6" w14:textId="1249D5F1" w:rsidR="002824D3" w:rsidRPr="00A45B48" w:rsidRDefault="002824D3" w:rsidP="00EB15C2">
            <w:pPr>
              <w:pStyle w:val="BodyText"/>
            </w:pPr>
            <w:r w:rsidRPr="22265CA7">
              <w:rPr>
                <w:b/>
                <w:bCs/>
              </w:rPr>
              <w:t>Email</w:t>
            </w:r>
            <w:r>
              <w:t xml:space="preserve">: </w:t>
            </w:r>
            <w:hyperlink r:id="rId11">
              <w:r w:rsidRPr="22265CA7">
                <w:rPr>
                  <w:rStyle w:val="Hyperlink"/>
                </w:rPr>
                <w:t>fiona.dixon@n-someret.gov.uk</w:t>
              </w:r>
            </w:hyperlink>
            <w:r>
              <w:t xml:space="preserve"> </w:t>
            </w:r>
          </w:p>
          <w:p w14:paraId="33CD9A13" w14:textId="3361199D" w:rsidR="002824D3" w:rsidRPr="00A45B48" w:rsidRDefault="1861856B" w:rsidP="22265CA7">
            <w:pPr>
              <w:pStyle w:val="BodyText"/>
            </w:pPr>
            <w:r w:rsidRPr="22265CA7">
              <w:rPr>
                <w:rFonts w:eastAsia="Arial"/>
                <w:b/>
                <w:bCs/>
                <w:color w:val="000000" w:themeColor="text1"/>
              </w:rPr>
              <w:t>Post</w:t>
            </w:r>
            <w:r w:rsidRPr="22265CA7">
              <w:rPr>
                <w:rFonts w:eastAsia="Arial"/>
                <w:color w:val="000000" w:themeColor="text1"/>
              </w:rPr>
              <w:t xml:space="preserve">: </w:t>
            </w:r>
            <w:r w:rsidRPr="22265CA7">
              <w:rPr>
                <w:rFonts w:eastAsia="Arial"/>
              </w:rPr>
              <w:t>Post Point:1 West, Town Hall, Walliscote Grove Road, Weston-super-Mare, BS23 1UJ</w:t>
            </w:r>
          </w:p>
        </w:tc>
      </w:tr>
      <w:tr w:rsidR="3814CDA6" w14:paraId="17F9237C" w14:textId="77777777" w:rsidTr="79EA2E33">
        <w:trPr>
          <w:trHeight w:val="300"/>
        </w:trPr>
        <w:tc>
          <w:tcPr>
            <w:tcW w:w="4211" w:type="dxa"/>
            <w:shd w:val="clear" w:color="auto" w:fill="595959" w:themeFill="text1" w:themeFillTint="A6"/>
            <w:vAlign w:val="center"/>
          </w:tcPr>
          <w:p w14:paraId="0EAE838D" w14:textId="2A175BCB" w:rsidR="56B94410" w:rsidRDefault="56B94410" w:rsidP="3814CDA6">
            <w:pPr>
              <w:pStyle w:val="BodyText"/>
              <w:rPr>
                <w:color w:val="FFFF00"/>
              </w:rPr>
            </w:pPr>
            <w:r w:rsidRPr="3814CDA6">
              <w:rPr>
                <w:color w:val="FFFF00"/>
              </w:rPr>
              <w:t>Start Date:</w:t>
            </w:r>
          </w:p>
        </w:tc>
        <w:tc>
          <w:tcPr>
            <w:tcW w:w="5094" w:type="dxa"/>
            <w:vAlign w:val="center"/>
          </w:tcPr>
          <w:p w14:paraId="19D1B040" w14:textId="25E9623A" w:rsidR="56B94410" w:rsidRDefault="56B94410" w:rsidP="3814CDA6">
            <w:pPr>
              <w:pStyle w:val="BodyText"/>
            </w:pPr>
            <w:r>
              <w:t>1 April 2026</w:t>
            </w:r>
          </w:p>
        </w:tc>
      </w:tr>
      <w:tr w:rsidR="3814CDA6" w14:paraId="001646C0" w14:textId="77777777" w:rsidTr="79EA2E33">
        <w:trPr>
          <w:trHeight w:val="300"/>
        </w:trPr>
        <w:tc>
          <w:tcPr>
            <w:tcW w:w="4211" w:type="dxa"/>
            <w:shd w:val="clear" w:color="auto" w:fill="595959" w:themeFill="text1" w:themeFillTint="A6"/>
            <w:vAlign w:val="center"/>
          </w:tcPr>
          <w:p w14:paraId="41EFF489" w14:textId="73F4D127" w:rsidR="3814CDA6" w:rsidRDefault="56B94410" w:rsidP="3814CDA6">
            <w:pPr>
              <w:pStyle w:val="BodyText"/>
              <w:rPr>
                <w:color w:val="FFFF00"/>
              </w:rPr>
            </w:pPr>
            <w:r w:rsidRPr="53A0E0BC">
              <w:rPr>
                <w:color w:val="FFFF00"/>
              </w:rPr>
              <w:t>Review Date:</w:t>
            </w:r>
          </w:p>
        </w:tc>
        <w:tc>
          <w:tcPr>
            <w:tcW w:w="5094" w:type="dxa"/>
            <w:vAlign w:val="center"/>
          </w:tcPr>
          <w:p w14:paraId="3C47F0DB" w14:textId="4E2E0B3F" w:rsidR="3814CDA6" w:rsidRDefault="3814CDA6" w:rsidP="3814CDA6">
            <w:pPr>
              <w:pStyle w:val="BodyText"/>
            </w:pPr>
          </w:p>
        </w:tc>
      </w:tr>
      <w:tr w:rsidR="00E94A4D" w:rsidRPr="00A45B48" w14:paraId="3785B751"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shd w:val="clear" w:color="auto" w:fill="666666"/>
          </w:tcPr>
          <w:p w14:paraId="03523B1C" w14:textId="77777777" w:rsidR="00E94A4D" w:rsidRPr="00A45B48" w:rsidRDefault="00E94A4D" w:rsidP="00EB15C2">
            <w:pPr>
              <w:pStyle w:val="BodyText"/>
              <w:jc w:val="both"/>
              <w:rPr>
                <w:color w:val="FFFF00"/>
              </w:rPr>
            </w:pPr>
          </w:p>
          <w:p w14:paraId="04B2595F" w14:textId="77777777" w:rsidR="00E94A4D" w:rsidRPr="00A45B48" w:rsidRDefault="00E94A4D" w:rsidP="00EB15C2">
            <w:pPr>
              <w:pStyle w:val="BodyText"/>
              <w:jc w:val="both"/>
              <w:rPr>
                <w:color w:val="FFFF00"/>
              </w:rPr>
            </w:pPr>
            <w:r w:rsidRPr="00A45B48">
              <w:rPr>
                <w:color w:val="FFFF00"/>
              </w:rPr>
              <w:t>1.  Population Needs</w:t>
            </w:r>
          </w:p>
          <w:p w14:paraId="491B4DD5" w14:textId="77777777" w:rsidR="00E94A4D" w:rsidRPr="00A45B48" w:rsidRDefault="00E94A4D" w:rsidP="00EB15C2">
            <w:pPr>
              <w:pStyle w:val="BodyText"/>
              <w:jc w:val="both"/>
              <w:rPr>
                <w:color w:val="FFFF00"/>
              </w:rPr>
            </w:pPr>
          </w:p>
        </w:tc>
      </w:tr>
      <w:tr w:rsidR="00E94A4D" w:rsidRPr="00A45B48" w14:paraId="7FF64FB6"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tcPr>
          <w:p w14:paraId="13373150" w14:textId="77777777" w:rsidR="00687227" w:rsidRPr="00A45B48" w:rsidRDefault="00687227" w:rsidP="00EB15C2">
            <w:pPr>
              <w:jc w:val="left"/>
              <w:rPr>
                <w:rFonts w:cs="Arial"/>
                <w:b/>
                <w:bCs/>
                <w:color w:val="339966"/>
                <w:sz w:val="22"/>
                <w:szCs w:val="22"/>
              </w:rPr>
            </w:pPr>
            <w:r w:rsidRPr="00A45B48">
              <w:rPr>
                <w:rFonts w:cs="Arial"/>
                <w:b/>
                <w:bCs/>
                <w:color w:val="339966"/>
                <w:sz w:val="22"/>
                <w:szCs w:val="22"/>
              </w:rPr>
              <w:t>1.1 Context</w:t>
            </w:r>
          </w:p>
          <w:p w14:paraId="635CFEFD" w14:textId="77777777" w:rsidR="002A63D5" w:rsidRPr="00A45B48" w:rsidRDefault="002A63D5" w:rsidP="00EB15C2">
            <w:pPr>
              <w:suppressAutoHyphens w:val="0"/>
              <w:autoSpaceDE w:val="0"/>
              <w:autoSpaceDN w:val="0"/>
              <w:adjustRightInd w:val="0"/>
              <w:jc w:val="left"/>
              <w:rPr>
                <w:rFonts w:cs="Arial"/>
                <w:color w:val="000000"/>
                <w:sz w:val="22"/>
                <w:szCs w:val="22"/>
                <w:lang w:eastAsia="en-GB"/>
              </w:rPr>
            </w:pPr>
          </w:p>
          <w:p w14:paraId="476B93B8" w14:textId="29D11537" w:rsidR="00687227" w:rsidRPr="00A45B48" w:rsidRDefault="00687227" w:rsidP="00EB15C2">
            <w:pPr>
              <w:suppressAutoHyphens w:val="0"/>
              <w:autoSpaceDE w:val="0"/>
              <w:autoSpaceDN w:val="0"/>
              <w:adjustRightInd w:val="0"/>
              <w:jc w:val="left"/>
              <w:rPr>
                <w:rFonts w:cs="Arial"/>
                <w:color w:val="000000"/>
                <w:sz w:val="22"/>
                <w:szCs w:val="22"/>
                <w:lang w:eastAsia="en-GB"/>
              </w:rPr>
            </w:pPr>
            <w:r w:rsidRPr="79EA2E33">
              <w:rPr>
                <w:rFonts w:cs="Arial"/>
                <w:color w:val="000000" w:themeColor="text1"/>
                <w:sz w:val="22"/>
                <w:szCs w:val="22"/>
                <w:lang w:eastAsia="en-GB"/>
              </w:rPr>
              <w:t>Supervising the self-administration of methadone and buprenorphine is an important mechanism for ensuring the safe and effective provision of opiate substitution treatment. Supervised consumption also plays a part within the harm reduction agenda</w:t>
            </w:r>
            <w:r w:rsidR="3FF5C6D9" w:rsidRPr="79EA2E33">
              <w:rPr>
                <w:rFonts w:cs="Arial"/>
                <w:color w:val="000000" w:themeColor="text1"/>
                <w:sz w:val="22"/>
                <w:szCs w:val="22"/>
                <w:lang w:eastAsia="en-GB"/>
              </w:rPr>
              <w:t xml:space="preserve"> and supports the aims of </w:t>
            </w:r>
            <w:r w:rsidR="79500F10" w:rsidRPr="79EA2E33">
              <w:rPr>
                <w:rFonts w:cs="Arial"/>
                <w:color w:val="000000" w:themeColor="text1"/>
                <w:sz w:val="22"/>
                <w:szCs w:val="22"/>
                <w:lang w:eastAsia="en-GB"/>
              </w:rPr>
              <w:t xml:space="preserve">North Somerset’s </w:t>
            </w:r>
            <w:r w:rsidR="3FF5C6D9" w:rsidRPr="79EA2E33">
              <w:rPr>
                <w:rFonts w:cs="Arial"/>
                <w:color w:val="000000" w:themeColor="text1"/>
                <w:sz w:val="22"/>
                <w:szCs w:val="22"/>
                <w:lang w:eastAsia="en-GB"/>
              </w:rPr>
              <w:t>Health and Wellbeing strategy</w:t>
            </w:r>
            <w:r w:rsidRPr="79EA2E33">
              <w:rPr>
                <w:rStyle w:val="FootnoteReference"/>
                <w:rFonts w:cs="Arial"/>
                <w:color w:val="000000" w:themeColor="text1"/>
                <w:sz w:val="22"/>
                <w:szCs w:val="22"/>
                <w:lang w:eastAsia="en-GB"/>
              </w:rPr>
              <w:footnoteReference w:id="1"/>
            </w:r>
            <w:r w:rsidR="1D3E511D" w:rsidRPr="79EA2E33">
              <w:rPr>
                <w:rFonts w:cs="Arial"/>
                <w:color w:val="000000" w:themeColor="text1"/>
                <w:sz w:val="22"/>
                <w:szCs w:val="22"/>
                <w:lang w:eastAsia="en-GB"/>
              </w:rPr>
              <w:t xml:space="preserve"> and </w:t>
            </w:r>
            <w:r w:rsidR="54E949EF" w:rsidRPr="79EA2E33">
              <w:rPr>
                <w:rFonts w:cs="Arial"/>
                <w:color w:val="000000" w:themeColor="text1"/>
                <w:sz w:val="22"/>
                <w:szCs w:val="22"/>
                <w:lang w:eastAsia="en-GB"/>
              </w:rPr>
              <w:t>the</w:t>
            </w:r>
            <w:r w:rsidR="1D3E511D" w:rsidRPr="79EA2E33">
              <w:rPr>
                <w:rFonts w:cs="Arial"/>
                <w:color w:val="000000" w:themeColor="text1"/>
                <w:sz w:val="22"/>
                <w:szCs w:val="22"/>
                <w:lang w:eastAsia="en-GB"/>
              </w:rPr>
              <w:t xml:space="preserve"> </w:t>
            </w:r>
            <w:r w:rsidR="6935FE0C" w:rsidRPr="79EA2E33">
              <w:rPr>
                <w:rFonts w:cs="Arial"/>
                <w:color w:val="000000" w:themeColor="text1"/>
                <w:sz w:val="22"/>
                <w:szCs w:val="22"/>
                <w:lang w:eastAsia="en-GB"/>
              </w:rPr>
              <w:t xml:space="preserve">Council's Corporate Plan </w:t>
            </w:r>
            <w:r w:rsidRPr="79EA2E33">
              <w:rPr>
                <w:rStyle w:val="FootnoteReference"/>
                <w:rFonts w:cs="Arial"/>
                <w:color w:val="000000" w:themeColor="text1"/>
                <w:sz w:val="22"/>
                <w:szCs w:val="22"/>
                <w:lang w:eastAsia="en-GB"/>
              </w:rPr>
              <w:footnoteReference w:id="2"/>
            </w:r>
          </w:p>
          <w:p w14:paraId="050EC287" w14:textId="77777777" w:rsidR="00687227" w:rsidRPr="00A45B48" w:rsidRDefault="00687227" w:rsidP="00EB15C2">
            <w:pPr>
              <w:rPr>
                <w:rFonts w:cs="Arial"/>
                <w:sz w:val="22"/>
                <w:szCs w:val="22"/>
                <w:lang w:eastAsia="en-GB"/>
              </w:rPr>
            </w:pPr>
          </w:p>
          <w:p w14:paraId="22496FDD" w14:textId="77777777" w:rsidR="00687227" w:rsidRPr="00A45B48" w:rsidRDefault="00687227" w:rsidP="00EB15C2">
            <w:pPr>
              <w:jc w:val="left"/>
              <w:rPr>
                <w:rFonts w:cs="Arial"/>
                <w:color w:val="339966"/>
                <w:sz w:val="22"/>
                <w:szCs w:val="22"/>
                <w:lang w:eastAsia="en-GB"/>
              </w:rPr>
            </w:pPr>
            <w:r w:rsidRPr="00A45B48">
              <w:rPr>
                <w:rFonts w:cs="Arial"/>
                <w:b/>
                <w:bCs/>
                <w:color w:val="339966"/>
                <w:sz w:val="22"/>
                <w:szCs w:val="22"/>
              </w:rPr>
              <w:t>1.2 Population</w:t>
            </w:r>
          </w:p>
          <w:p w14:paraId="4EE82531" w14:textId="77777777" w:rsidR="002A63D5" w:rsidRPr="00A45B48" w:rsidRDefault="002A63D5" w:rsidP="00EB15C2">
            <w:pPr>
              <w:rPr>
                <w:rFonts w:cs="Arial"/>
                <w:sz w:val="22"/>
                <w:szCs w:val="22"/>
                <w:lang w:eastAsia="en-GB"/>
              </w:rPr>
            </w:pPr>
          </w:p>
          <w:p w14:paraId="1FD66BE7" w14:textId="0C237776" w:rsidR="00D14760" w:rsidRPr="00A45B48" w:rsidRDefault="00D34A91" w:rsidP="79EA2E33">
            <w:pPr>
              <w:rPr>
                <w:rFonts w:cs="Arial"/>
                <w:i/>
                <w:iCs/>
                <w:sz w:val="22"/>
                <w:szCs w:val="22"/>
              </w:rPr>
            </w:pPr>
            <w:r w:rsidRPr="79EA2E33">
              <w:rPr>
                <w:rFonts w:cs="Arial"/>
                <w:sz w:val="22"/>
                <w:szCs w:val="22"/>
                <w:lang w:eastAsia="en-GB"/>
              </w:rPr>
              <w:t xml:space="preserve">The number of opiate users receiving a prescription </w:t>
            </w:r>
            <w:r w:rsidR="00687227" w:rsidRPr="79EA2E33">
              <w:rPr>
                <w:rFonts w:cs="Arial"/>
                <w:sz w:val="22"/>
                <w:szCs w:val="22"/>
                <w:lang w:eastAsia="en-GB"/>
              </w:rPr>
              <w:t xml:space="preserve">in North Somerset </w:t>
            </w:r>
            <w:r w:rsidRPr="79EA2E33">
              <w:rPr>
                <w:rFonts w:cs="Arial"/>
                <w:sz w:val="22"/>
                <w:szCs w:val="22"/>
                <w:lang w:eastAsia="en-GB"/>
              </w:rPr>
              <w:t>ranges between 3</w:t>
            </w:r>
            <w:r w:rsidR="25CDECF8" w:rsidRPr="79EA2E33">
              <w:rPr>
                <w:rFonts w:cs="Arial"/>
                <w:sz w:val="22"/>
                <w:szCs w:val="22"/>
                <w:lang w:eastAsia="en-GB"/>
              </w:rPr>
              <w:t>3</w:t>
            </w:r>
            <w:r w:rsidRPr="79EA2E33">
              <w:rPr>
                <w:rFonts w:cs="Arial"/>
                <w:sz w:val="22"/>
                <w:szCs w:val="22"/>
                <w:lang w:eastAsia="en-GB"/>
              </w:rPr>
              <w:t>0 and 420 on a monthly basis (in December 2024 there were 371</w:t>
            </w:r>
            <w:r w:rsidR="002A63D5" w:rsidRPr="79EA2E33">
              <w:rPr>
                <w:rFonts w:cs="Arial"/>
                <w:sz w:val="22"/>
                <w:szCs w:val="22"/>
                <w:lang w:eastAsia="en-GB"/>
              </w:rPr>
              <w:t xml:space="preserve">, of which </w:t>
            </w:r>
            <w:r w:rsidR="005E4C0A" w:rsidRPr="79EA2E33">
              <w:rPr>
                <w:rFonts w:cs="Arial"/>
                <w:sz w:val="22"/>
                <w:szCs w:val="22"/>
                <w:lang w:eastAsia="en-GB"/>
              </w:rPr>
              <w:t>74</w:t>
            </w:r>
            <w:r w:rsidR="002A63D5" w:rsidRPr="79EA2E33">
              <w:rPr>
                <w:rFonts w:cs="Arial"/>
                <w:sz w:val="22"/>
                <w:szCs w:val="22"/>
                <w:lang w:eastAsia="en-GB"/>
              </w:rPr>
              <w:t xml:space="preserve"> individuals </w:t>
            </w:r>
            <w:r w:rsidR="005E4C0A" w:rsidRPr="79EA2E33">
              <w:rPr>
                <w:rFonts w:cs="Arial"/>
                <w:sz w:val="22"/>
                <w:szCs w:val="22"/>
                <w:lang w:eastAsia="en-GB"/>
              </w:rPr>
              <w:t>received</w:t>
            </w:r>
            <w:r w:rsidR="002A63D5" w:rsidRPr="79EA2E33">
              <w:rPr>
                <w:rFonts w:cs="Arial"/>
                <w:sz w:val="22"/>
                <w:szCs w:val="22"/>
                <w:lang w:eastAsia="en-GB"/>
              </w:rPr>
              <w:t xml:space="preserve"> </w:t>
            </w:r>
            <w:r w:rsidR="00687227" w:rsidRPr="79EA2E33">
              <w:rPr>
                <w:rFonts w:cs="Arial"/>
                <w:sz w:val="22"/>
                <w:szCs w:val="22"/>
                <w:lang w:eastAsia="en-GB"/>
              </w:rPr>
              <w:t xml:space="preserve">supervised consumption in </w:t>
            </w:r>
            <w:r w:rsidR="005E4C0A" w:rsidRPr="79EA2E33">
              <w:rPr>
                <w:rFonts w:cs="Arial"/>
                <w:sz w:val="22"/>
                <w:szCs w:val="22"/>
                <w:lang w:eastAsia="en-GB"/>
              </w:rPr>
              <w:t>the</w:t>
            </w:r>
            <w:r w:rsidR="00687227" w:rsidRPr="79EA2E33">
              <w:rPr>
                <w:rFonts w:cs="Arial"/>
                <w:sz w:val="22"/>
                <w:szCs w:val="22"/>
                <w:lang w:eastAsia="en-GB"/>
              </w:rPr>
              <w:t xml:space="preserve"> month</w:t>
            </w:r>
            <w:r w:rsidR="005E4C0A" w:rsidRPr="79EA2E33">
              <w:rPr>
                <w:rFonts w:cs="Arial"/>
                <w:sz w:val="22"/>
                <w:szCs w:val="22"/>
                <w:lang w:eastAsia="en-GB"/>
              </w:rPr>
              <w:t xml:space="preserve"> with approximately</w:t>
            </w:r>
            <w:r w:rsidR="002A63D5" w:rsidRPr="79EA2E33">
              <w:rPr>
                <w:rFonts w:cs="Arial"/>
                <w:sz w:val="22"/>
                <w:szCs w:val="22"/>
                <w:lang w:eastAsia="en-GB"/>
              </w:rPr>
              <w:t xml:space="preserve"> half </w:t>
            </w:r>
            <w:r w:rsidR="005E4C0A" w:rsidRPr="79EA2E33">
              <w:rPr>
                <w:rFonts w:cs="Arial"/>
                <w:sz w:val="22"/>
                <w:szCs w:val="22"/>
                <w:lang w:eastAsia="en-GB"/>
              </w:rPr>
              <w:t>on</w:t>
            </w:r>
            <w:r w:rsidR="002A63D5" w:rsidRPr="79EA2E33">
              <w:rPr>
                <w:rFonts w:cs="Arial"/>
                <w:sz w:val="22"/>
                <w:szCs w:val="22"/>
                <w:lang w:eastAsia="en-GB"/>
              </w:rPr>
              <w:t xml:space="preserve"> daily supervised consumption</w:t>
            </w:r>
            <w:r w:rsidRPr="79EA2E33">
              <w:rPr>
                <w:rFonts w:cs="Arial"/>
                <w:sz w:val="22"/>
                <w:szCs w:val="22"/>
                <w:lang w:eastAsia="en-GB"/>
              </w:rPr>
              <w:t>)</w:t>
            </w:r>
            <w:r w:rsidR="002A63D5" w:rsidRPr="79EA2E33">
              <w:rPr>
                <w:rFonts w:cs="Arial"/>
                <w:sz w:val="22"/>
                <w:szCs w:val="22"/>
                <w:lang w:eastAsia="en-GB"/>
              </w:rPr>
              <w:t>.</w:t>
            </w:r>
            <w:r w:rsidR="005E4C0A" w:rsidRPr="79EA2E33">
              <w:rPr>
                <w:rFonts w:cs="Arial"/>
                <w:sz w:val="22"/>
                <w:szCs w:val="22"/>
                <w:lang w:eastAsia="en-GB"/>
              </w:rPr>
              <w:t xml:space="preserve"> </w:t>
            </w:r>
          </w:p>
        </w:tc>
      </w:tr>
      <w:tr w:rsidR="00E94A4D" w:rsidRPr="00A45B48" w14:paraId="2F8A1C65"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shd w:val="clear" w:color="auto" w:fill="666666"/>
          </w:tcPr>
          <w:p w14:paraId="275CEE4F" w14:textId="77777777" w:rsidR="00E94A4D" w:rsidRPr="00A45B48" w:rsidRDefault="00E94A4D" w:rsidP="00EB15C2">
            <w:pPr>
              <w:pStyle w:val="BodyText"/>
              <w:jc w:val="both"/>
              <w:rPr>
                <w:color w:val="FFFFFF"/>
                <w:u w:val="single"/>
              </w:rPr>
            </w:pPr>
          </w:p>
          <w:p w14:paraId="332F0379" w14:textId="52281E77" w:rsidR="00E94A4D" w:rsidRPr="00A45B48" w:rsidRDefault="00310AB3" w:rsidP="00EB15C2">
            <w:pPr>
              <w:pStyle w:val="BodyText"/>
              <w:jc w:val="both"/>
              <w:rPr>
                <w:color w:val="FF9900"/>
              </w:rPr>
            </w:pPr>
            <w:r w:rsidRPr="00A45B48">
              <w:rPr>
                <w:color w:val="FFFF00"/>
              </w:rPr>
              <w:t>2</w:t>
            </w:r>
            <w:r w:rsidR="00E94A4D" w:rsidRPr="00A45B48">
              <w:rPr>
                <w:color w:val="FFFF00"/>
              </w:rPr>
              <w:t xml:space="preserve">. </w:t>
            </w:r>
            <w:r w:rsidR="002A63D5" w:rsidRPr="00A45B48">
              <w:rPr>
                <w:color w:val="FFFF00"/>
              </w:rPr>
              <w:t>Aims, Objectives and Outcomes</w:t>
            </w:r>
            <w:r w:rsidR="00E94A4D" w:rsidRPr="00A45B48" w:rsidDel="00090017">
              <w:rPr>
                <w:color w:val="FFFF00"/>
              </w:rPr>
              <w:t xml:space="preserve"> </w:t>
            </w:r>
          </w:p>
          <w:p w14:paraId="2DA50A55" w14:textId="77777777" w:rsidR="00E94A4D" w:rsidRPr="00A45B48" w:rsidRDefault="00E94A4D" w:rsidP="00EB15C2">
            <w:pPr>
              <w:pStyle w:val="BodyText"/>
              <w:jc w:val="both"/>
              <w:rPr>
                <w:color w:val="FFFFFF"/>
                <w:u w:val="single"/>
              </w:rPr>
            </w:pPr>
          </w:p>
        </w:tc>
      </w:tr>
      <w:tr w:rsidR="00E94A4D" w:rsidRPr="00A45B48" w14:paraId="18F13A88"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tcPr>
          <w:p w14:paraId="60702D66" w14:textId="77777777" w:rsidR="00E94A4D" w:rsidRPr="00A45B48" w:rsidRDefault="00E94A4D" w:rsidP="00EB15C2">
            <w:pPr>
              <w:rPr>
                <w:rFonts w:cs="Arial"/>
                <w:bCs/>
                <w:color w:val="339966"/>
                <w:sz w:val="22"/>
                <w:szCs w:val="22"/>
              </w:rPr>
            </w:pPr>
          </w:p>
          <w:p w14:paraId="127F1C54" w14:textId="1691DE56" w:rsidR="00687227" w:rsidRPr="00A45B48" w:rsidRDefault="00687227" w:rsidP="00EB15C2">
            <w:pPr>
              <w:jc w:val="left"/>
              <w:rPr>
                <w:rFonts w:cs="Arial"/>
                <w:b/>
                <w:color w:val="339966"/>
                <w:sz w:val="22"/>
                <w:szCs w:val="22"/>
              </w:rPr>
            </w:pPr>
            <w:r w:rsidRPr="00A45B48">
              <w:rPr>
                <w:rFonts w:cs="Arial"/>
                <w:b/>
                <w:color w:val="339966"/>
                <w:sz w:val="22"/>
                <w:szCs w:val="22"/>
              </w:rPr>
              <w:t>2.1 Aims</w:t>
            </w:r>
          </w:p>
          <w:p w14:paraId="316E87AD" w14:textId="77777777" w:rsidR="00687227" w:rsidRPr="00A45B48" w:rsidRDefault="00687227" w:rsidP="00EB15C2">
            <w:pPr>
              <w:pStyle w:val="ListParagraph"/>
              <w:numPr>
                <w:ilvl w:val="0"/>
                <w:numId w:val="21"/>
              </w:numPr>
              <w:ind w:left="714" w:hanging="357"/>
              <w:jc w:val="left"/>
              <w:rPr>
                <w:rFonts w:cs="Arial"/>
                <w:sz w:val="22"/>
                <w:szCs w:val="22"/>
              </w:rPr>
            </w:pPr>
            <w:r w:rsidRPr="00A45B48">
              <w:rPr>
                <w:rFonts w:cs="Arial"/>
                <w:sz w:val="22"/>
                <w:szCs w:val="22"/>
                <w:lang w:eastAsia="en-GB"/>
              </w:rPr>
              <w:t xml:space="preserve">To provide a safe environment while clients are being stabilised allowing qualified staff (pharmacists) to assess clients prior to dispensing medications for any obvious signs of "on top" use.  </w:t>
            </w:r>
          </w:p>
          <w:p w14:paraId="7857C46C" w14:textId="688D90F1" w:rsidR="00687227" w:rsidRPr="00A45B48" w:rsidRDefault="00687227" w:rsidP="00EB15C2">
            <w:pPr>
              <w:pStyle w:val="ListParagraph"/>
              <w:numPr>
                <w:ilvl w:val="0"/>
                <w:numId w:val="21"/>
              </w:numPr>
              <w:ind w:left="714" w:hanging="357"/>
              <w:jc w:val="left"/>
              <w:rPr>
                <w:rFonts w:cs="Arial"/>
                <w:sz w:val="22"/>
                <w:szCs w:val="22"/>
              </w:rPr>
            </w:pPr>
            <w:r w:rsidRPr="00A45B48">
              <w:rPr>
                <w:rFonts w:cs="Arial"/>
                <w:sz w:val="22"/>
                <w:szCs w:val="22"/>
                <w:lang w:eastAsia="en-GB"/>
              </w:rPr>
              <w:t xml:space="preserve">To reduce the risk of overdose by limiting the ability to </w:t>
            </w:r>
            <w:r w:rsidR="00E67D49" w:rsidRPr="00A45B48">
              <w:rPr>
                <w:rFonts w:cs="Arial"/>
                <w:sz w:val="22"/>
                <w:szCs w:val="22"/>
                <w:lang w:eastAsia="en-GB"/>
              </w:rPr>
              <w:t>stockpile</w:t>
            </w:r>
            <w:r w:rsidRPr="00A45B48">
              <w:rPr>
                <w:rFonts w:cs="Arial"/>
                <w:sz w:val="22"/>
                <w:szCs w:val="22"/>
                <w:lang w:eastAsia="en-GB"/>
              </w:rPr>
              <w:t xml:space="preserve"> the medication or young children accessing it </w:t>
            </w:r>
          </w:p>
          <w:p w14:paraId="680040C4" w14:textId="77777777" w:rsidR="00687227" w:rsidRPr="00A45B48" w:rsidRDefault="00687227" w:rsidP="00EB15C2">
            <w:pPr>
              <w:pStyle w:val="ListParagraph"/>
              <w:numPr>
                <w:ilvl w:val="0"/>
                <w:numId w:val="21"/>
              </w:numPr>
              <w:ind w:left="714" w:hanging="357"/>
              <w:jc w:val="left"/>
              <w:rPr>
                <w:rFonts w:cs="Arial"/>
                <w:sz w:val="22"/>
                <w:szCs w:val="22"/>
                <w:lang w:eastAsia="en-GB"/>
              </w:rPr>
            </w:pPr>
            <w:r w:rsidRPr="00A45B48">
              <w:rPr>
                <w:rFonts w:cs="Arial"/>
                <w:sz w:val="22"/>
                <w:szCs w:val="22"/>
                <w:lang w:eastAsia="en-GB"/>
              </w:rPr>
              <w:t xml:space="preserve">To reduce the possibility of medication being sold or swapped (diversion).  </w:t>
            </w:r>
          </w:p>
          <w:p w14:paraId="4129AA8C" w14:textId="0D649DA3" w:rsidR="00790E18" w:rsidRPr="00A45B48" w:rsidRDefault="00687227" w:rsidP="00EB15C2">
            <w:pPr>
              <w:pStyle w:val="ListParagraph"/>
              <w:numPr>
                <w:ilvl w:val="0"/>
                <w:numId w:val="21"/>
              </w:numPr>
              <w:ind w:left="714" w:hanging="357"/>
              <w:jc w:val="left"/>
              <w:rPr>
                <w:rFonts w:cs="Arial"/>
                <w:sz w:val="22"/>
                <w:szCs w:val="22"/>
                <w:lang w:eastAsia="en-GB"/>
              </w:rPr>
            </w:pPr>
            <w:r w:rsidRPr="00A45B48">
              <w:rPr>
                <w:rFonts w:cs="Arial"/>
                <w:sz w:val="22"/>
                <w:szCs w:val="22"/>
                <w:lang w:eastAsia="en-GB"/>
              </w:rPr>
              <w:t xml:space="preserve">To minimise the risk of misuse of the medication or mixing it.  </w:t>
            </w:r>
          </w:p>
          <w:p w14:paraId="7680A36F" w14:textId="1FFADB66" w:rsidR="001C1E15" w:rsidRPr="00A45B48" w:rsidRDefault="001C1E15" w:rsidP="00EB15C2">
            <w:pPr>
              <w:rPr>
                <w:rFonts w:cs="Arial"/>
                <w:bCs/>
                <w:sz w:val="22"/>
                <w:szCs w:val="22"/>
              </w:rPr>
            </w:pPr>
          </w:p>
          <w:p w14:paraId="034FF15B" w14:textId="37882936" w:rsidR="00687227" w:rsidRPr="00A45B48" w:rsidRDefault="00687227" w:rsidP="00EB15C2">
            <w:pPr>
              <w:jc w:val="left"/>
              <w:rPr>
                <w:rFonts w:cs="Arial"/>
                <w:b/>
                <w:color w:val="339966"/>
                <w:sz w:val="22"/>
                <w:szCs w:val="22"/>
              </w:rPr>
            </w:pPr>
            <w:r w:rsidRPr="00A45B48">
              <w:rPr>
                <w:rFonts w:cs="Arial"/>
                <w:b/>
                <w:color w:val="339966"/>
                <w:sz w:val="22"/>
                <w:szCs w:val="22"/>
              </w:rPr>
              <w:t xml:space="preserve">2.2 Objectives </w:t>
            </w:r>
          </w:p>
          <w:p w14:paraId="2CEAD3A7" w14:textId="77777777" w:rsidR="00687227" w:rsidRPr="00A45B48" w:rsidRDefault="00687227" w:rsidP="00EB15C2">
            <w:pPr>
              <w:pStyle w:val="ListParagraph"/>
              <w:numPr>
                <w:ilvl w:val="0"/>
                <w:numId w:val="22"/>
              </w:numPr>
              <w:suppressAutoHyphens w:val="0"/>
              <w:ind w:left="714" w:right="204" w:hanging="357"/>
              <w:jc w:val="left"/>
              <w:rPr>
                <w:rFonts w:cs="Arial"/>
                <w:sz w:val="22"/>
                <w:szCs w:val="22"/>
              </w:rPr>
            </w:pPr>
            <w:r w:rsidRPr="00A45B48">
              <w:rPr>
                <w:rFonts w:cs="Arial"/>
                <w:sz w:val="22"/>
                <w:szCs w:val="22"/>
              </w:rPr>
              <w:t>To ensure that service users are being prescribed the optimal (safe and effective) level of medication.</w:t>
            </w:r>
          </w:p>
          <w:p w14:paraId="47C66BDC" w14:textId="44D2EAFF" w:rsidR="00687227" w:rsidRPr="00A45B48" w:rsidRDefault="00687227" w:rsidP="00EB15C2">
            <w:pPr>
              <w:pStyle w:val="ListParagraph"/>
              <w:numPr>
                <w:ilvl w:val="0"/>
                <w:numId w:val="22"/>
              </w:numPr>
              <w:suppressAutoHyphens w:val="0"/>
              <w:ind w:left="714" w:right="204" w:hanging="357"/>
              <w:jc w:val="left"/>
              <w:rPr>
                <w:rFonts w:cs="Arial"/>
                <w:sz w:val="22"/>
                <w:szCs w:val="22"/>
              </w:rPr>
            </w:pPr>
            <w:r w:rsidRPr="00A45B48">
              <w:rPr>
                <w:rFonts w:cs="Arial"/>
                <w:sz w:val="22"/>
                <w:szCs w:val="22"/>
              </w:rPr>
              <w:t>To ensure that medication is consumed correctly in accordance with the prescription</w:t>
            </w:r>
            <w:r w:rsidR="00501744" w:rsidRPr="00A45B48">
              <w:rPr>
                <w:rFonts w:cs="Arial"/>
                <w:sz w:val="22"/>
                <w:szCs w:val="22"/>
              </w:rPr>
              <w:t>.</w:t>
            </w:r>
          </w:p>
          <w:p w14:paraId="2224BEA0" w14:textId="29A4826A" w:rsidR="00687227" w:rsidRPr="00A45B48" w:rsidRDefault="00687227" w:rsidP="00EB15C2">
            <w:pPr>
              <w:pStyle w:val="ListParagraph"/>
              <w:numPr>
                <w:ilvl w:val="0"/>
                <w:numId w:val="22"/>
              </w:numPr>
              <w:suppressAutoHyphens w:val="0"/>
              <w:ind w:left="714" w:right="204" w:hanging="357"/>
              <w:jc w:val="left"/>
              <w:rPr>
                <w:rFonts w:cs="Arial"/>
                <w:sz w:val="22"/>
                <w:szCs w:val="22"/>
              </w:rPr>
            </w:pPr>
            <w:r w:rsidRPr="00A45B48">
              <w:rPr>
                <w:rFonts w:cs="Arial"/>
                <w:sz w:val="22"/>
                <w:szCs w:val="22"/>
              </w:rPr>
              <w:lastRenderedPageBreak/>
              <w:t xml:space="preserve">To ensure any adverse reactions are rapidly responded </w:t>
            </w:r>
            <w:r w:rsidR="00501744" w:rsidRPr="00A45B48">
              <w:rPr>
                <w:rFonts w:cs="Arial"/>
                <w:sz w:val="22"/>
                <w:szCs w:val="22"/>
              </w:rPr>
              <w:t>to.</w:t>
            </w:r>
          </w:p>
          <w:p w14:paraId="76B1C295" w14:textId="272BE4BE" w:rsidR="00687227" w:rsidRPr="00A45B48" w:rsidRDefault="00687227" w:rsidP="00EB15C2">
            <w:pPr>
              <w:pStyle w:val="ListParagraph"/>
              <w:numPr>
                <w:ilvl w:val="0"/>
                <w:numId w:val="22"/>
              </w:numPr>
              <w:suppressAutoHyphens w:val="0"/>
              <w:ind w:left="714" w:right="204" w:hanging="357"/>
              <w:jc w:val="left"/>
              <w:rPr>
                <w:rFonts w:cs="Arial"/>
                <w:sz w:val="22"/>
                <w:szCs w:val="22"/>
              </w:rPr>
            </w:pPr>
            <w:r w:rsidRPr="00A45B48">
              <w:rPr>
                <w:rFonts w:cs="Arial"/>
                <w:sz w:val="22"/>
                <w:szCs w:val="22"/>
              </w:rPr>
              <w:t>To prevent diversion of medication</w:t>
            </w:r>
            <w:r w:rsidR="00501744" w:rsidRPr="00A45B48">
              <w:rPr>
                <w:rFonts w:cs="Arial"/>
                <w:sz w:val="22"/>
                <w:szCs w:val="22"/>
              </w:rPr>
              <w:t>.</w:t>
            </w:r>
          </w:p>
          <w:p w14:paraId="1C82D2C1" w14:textId="055088A6" w:rsidR="00687227" w:rsidRPr="00A45B48" w:rsidRDefault="00687227" w:rsidP="00EB15C2">
            <w:pPr>
              <w:pStyle w:val="ListParagraph"/>
              <w:numPr>
                <w:ilvl w:val="0"/>
                <w:numId w:val="22"/>
              </w:numPr>
              <w:suppressAutoHyphens w:val="0"/>
              <w:ind w:left="714" w:right="204" w:hanging="357"/>
              <w:jc w:val="left"/>
              <w:rPr>
                <w:rFonts w:cs="Arial"/>
                <w:sz w:val="22"/>
                <w:szCs w:val="22"/>
              </w:rPr>
            </w:pPr>
            <w:r w:rsidRPr="00A45B48">
              <w:rPr>
                <w:rFonts w:cs="Arial"/>
                <w:sz w:val="22"/>
                <w:szCs w:val="22"/>
              </w:rPr>
              <w:t xml:space="preserve">To reduce the risk of </w:t>
            </w:r>
            <w:r w:rsidR="00501744" w:rsidRPr="00A45B48">
              <w:rPr>
                <w:rFonts w:cs="Arial"/>
                <w:sz w:val="22"/>
                <w:szCs w:val="22"/>
              </w:rPr>
              <w:t>stockpiling</w:t>
            </w:r>
            <w:r w:rsidRPr="00A45B48">
              <w:rPr>
                <w:rFonts w:cs="Arial"/>
                <w:sz w:val="22"/>
                <w:szCs w:val="22"/>
              </w:rPr>
              <w:t xml:space="preserve"> of medication</w:t>
            </w:r>
            <w:r w:rsidR="00501744" w:rsidRPr="00A45B48">
              <w:rPr>
                <w:rFonts w:cs="Arial"/>
                <w:sz w:val="22"/>
                <w:szCs w:val="22"/>
              </w:rPr>
              <w:t>.</w:t>
            </w:r>
          </w:p>
          <w:p w14:paraId="61DBFD12" w14:textId="5AFC7972" w:rsidR="00687227" w:rsidRPr="00A45B48" w:rsidRDefault="00687227" w:rsidP="00EB15C2">
            <w:pPr>
              <w:pStyle w:val="ListParagraph"/>
              <w:numPr>
                <w:ilvl w:val="0"/>
                <w:numId w:val="22"/>
              </w:numPr>
              <w:suppressAutoHyphens w:val="0"/>
              <w:ind w:left="714" w:right="204" w:hanging="357"/>
              <w:jc w:val="left"/>
              <w:rPr>
                <w:rFonts w:cs="Arial"/>
                <w:sz w:val="22"/>
                <w:szCs w:val="22"/>
              </w:rPr>
            </w:pPr>
            <w:r w:rsidRPr="00A45B48">
              <w:rPr>
                <w:rFonts w:cs="Arial"/>
                <w:sz w:val="22"/>
                <w:szCs w:val="22"/>
              </w:rPr>
              <w:t>To reduce the risk of accidental/unintended consumption of medication</w:t>
            </w:r>
            <w:r w:rsidR="00501744" w:rsidRPr="00A45B48">
              <w:rPr>
                <w:rFonts w:cs="Arial"/>
                <w:sz w:val="22"/>
                <w:szCs w:val="22"/>
              </w:rPr>
              <w:t>.</w:t>
            </w:r>
          </w:p>
          <w:p w14:paraId="4F8875E7" w14:textId="77777777" w:rsidR="00687227" w:rsidRPr="00A45B48" w:rsidRDefault="00687227" w:rsidP="00EB15C2">
            <w:pPr>
              <w:jc w:val="left"/>
              <w:rPr>
                <w:rFonts w:cs="Arial"/>
                <w:b/>
                <w:bCs/>
                <w:color w:val="00B050"/>
                <w:sz w:val="22"/>
                <w:szCs w:val="22"/>
              </w:rPr>
            </w:pPr>
          </w:p>
          <w:p w14:paraId="61947FEA" w14:textId="3EF05599" w:rsidR="00687227" w:rsidRPr="00A45B48" w:rsidRDefault="00687227" w:rsidP="00EB15C2">
            <w:pPr>
              <w:jc w:val="left"/>
              <w:rPr>
                <w:rFonts w:cs="Arial"/>
                <w:bCs/>
                <w:color w:val="339966"/>
                <w:sz w:val="22"/>
                <w:szCs w:val="22"/>
              </w:rPr>
            </w:pPr>
            <w:r w:rsidRPr="00A45B48">
              <w:rPr>
                <w:rFonts w:cs="Arial"/>
                <w:bCs/>
                <w:color w:val="339966"/>
                <w:sz w:val="22"/>
                <w:szCs w:val="22"/>
              </w:rPr>
              <w:t>2.</w:t>
            </w:r>
            <w:r w:rsidR="002A63D5" w:rsidRPr="00A45B48">
              <w:rPr>
                <w:rFonts w:cs="Arial"/>
                <w:bCs/>
                <w:color w:val="339966"/>
                <w:sz w:val="22"/>
                <w:szCs w:val="22"/>
              </w:rPr>
              <w:t>2</w:t>
            </w:r>
            <w:r w:rsidRPr="00A45B48">
              <w:rPr>
                <w:rFonts w:cs="Arial"/>
                <w:bCs/>
                <w:color w:val="339966"/>
                <w:sz w:val="22"/>
                <w:szCs w:val="22"/>
              </w:rPr>
              <w:t>.</w:t>
            </w:r>
            <w:r w:rsidR="002A63D5" w:rsidRPr="00A45B48">
              <w:rPr>
                <w:rFonts w:cs="Arial"/>
                <w:bCs/>
                <w:color w:val="339966"/>
                <w:sz w:val="22"/>
                <w:szCs w:val="22"/>
              </w:rPr>
              <w:t>1</w:t>
            </w:r>
            <w:r w:rsidRPr="00A45B48">
              <w:rPr>
                <w:rFonts w:cs="Arial"/>
                <w:bCs/>
                <w:color w:val="339966"/>
                <w:sz w:val="22"/>
                <w:szCs w:val="22"/>
              </w:rPr>
              <w:t xml:space="preserve"> Inclusion criteria</w:t>
            </w:r>
          </w:p>
          <w:p w14:paraId="18FC0D7A" w14:textId="7D96F662" w:rsidR="00687227" w:rsidRPr="00A45B48" w:rsidRDefault="00687227" w:rsidP="00EB15C2">
            <w:pPr>
              <w:jc w:val="left"/>
              <w:rPr>
                <w:rFonts w:cs="Arial"/>
                <w:b/>
                <w:bCs/>
                <w:color w:val="339966"/>
                <w:sz w:val="22"/>
                <w:szCs w:val="22"/>
              </w:rPr>
            </w:pPr>
            <w:r w:rsidRPr="00A45B48">
              <w:rPr>
                <w:rFonts w:cs="Arial"/>
                <w:bCs/>
                <w:sz w:val="22"/>
                <w:szCs w:val="22"/>
              </w:rPr>
              <w:t>The North Somerset Supervised Consumption Scheme will be provided, at the request of the agency undertaking the prescribing, to any individuals in receipt of opiate substitution treatment</w:t>
            </w:r>
            <w:r w:rsidR="00501744" w:rsidRPr="00A45B48">
              <w:rPr>
                <w:rFonts w:cs="Arial"/>
                <w:bCs/>
                <w:sz w:val="22"/>
                <w:szCs w:val="22"/>
              </w:rPr>
              <w:t>.</w:t>
            </w:r>
          </w:p>
          <w:p w14:paraId="189DC728" w14:textId="77777777" w:rsidR="00687227" w:rsidRPr="00A45B48" w:rsidRDefault="00687227" w:rsidP="00EB15C2">
            <w:pPr>
              <w:pStyle w:val="ListParagraph"/>
              <w:jc w:val="left"/>
              <w:rPr>
                <w:rFonts w:cs="Arial"/>
                <w:sz w:val="22"/>
                <w:szCs w:val="22"/>
              </w:rPr>
            </w:pPr>
          </w:p>
          <w:p w14:paraId="77EE0818" w14:textId="0CFA1350" w:rsidR="00687227" w:rsidRPr="00A45B48" w:rsidRDefault="00687227" w:rsidP="00EB15C2">
            <w:pPr>
              <w:jc w:val="left"/>
              <w:rPr>
                <w:rFonts w:cs="Arial"/>
                <w:color w:val="339966"/>
                <w:sz w:val="22"/>
                <w:szCs w:val="22"/>
              </w:rPr>
            </w:pPr>
            <w:r w:rsidRPr="00A45B48">
              <w:rPr>
                <w:rFonts w:cs="Arial"/>
                <w:color w:val="339966"/>
                <w:sz w:val="22"/>
                <w:szCs w:val="22"/>
              </w:rPr>
              <w:t>2.</w:t>
            </w:r>
            <w:r w:rsidR="002A63D5" w:rsidRPr="00A45B48">
              <w:rPr>
                <w:rFonts w:cs="Arial"/>
                <w:color w:val="339966"/>
                <w:sz w:val="22"/>
                <w:szCs w:val="22"/>
              </w:rPr>
              <w:t>2</w:t>
            </w:r>
            <w:r w:rsidRPr="00A45B48">
              <w:rPr>
                <w:rFonts w:cs="Arial"/>
                <w:color w:val="339966"/>
                <w:sz w:val="22"/>
                <w:szCs w:val="22"/>
              </w:rPr>
              <w:t>.</w:t>
            </w:r>
            <w:r w:rsidR="002A63D5" w:rsidRPr="00A45B48">
              <w:rPr>
                <w:rFonts w:cs="Arial"/>
                <w:color w:val="339966"/>
                <w:sz w:val="22"/>
                <w:szCs w:val="22"/>
              </w:rPr>
              <w:t>2</w:t>
            </w:r>
            <w:r w:rsidRPr="00A45B48">
              <w:rPr>
                <w:rFonts w:cs="Arial"/>
                <w:color w:val="339966"/>
                <w:sz w:val="22"/>
                <w:szCs w:val="22"/>
              </w:rPr>
              <w:t xml:space="preserve"> Outcomes</w:t>
            </w:r>
          </w:p>
          <w:p w14:paraId="75BFA9F3" w14:textId="237702A4" w:rsidR="00687227" w:rsidRPr="00A45B48" w:rsidRDefault="00687227" w:rsidP="00EB15C2">
            <w:pPr>
              <w:rPr>
                <w:rFonts w:cs="Arial"/>
                <w:bCs/>
                <w:sz w:val="22"/>
                <w:szCs w:val="22"/>
              </w:rPr>
            </w:pPr>
            <w:r w:rsidRPr="00A45B48">
              <w:rPr>
                <w:rFonts w:cs="Arial"/>
                <w:sz w:val="22"/>
                <w:szCs w:val="22"/>
              </w:rPr>
              <w:t xml:space="preserve">This service will support the outcomes measured by </w:t>
            </w:r>
            <w:r w:rsidR="002A63D5" w:rsidRPr="00A45B48">
              <w:rPr>
                <w:rFonts w:cs="Arial"/>
                <w:sz w:val="22"/>
                <w:szCs w:val="22"/>
              </w:rPr>
              <w:t>the Department of Health and Social Care (DHSC) through the Office of Health Inequalities and disparities (OHID)</w:t>
            </w:r>
            <w:r w:rsidR="00501744" w:rsidRPr="00A45B48">
              <w:rPr>
                <w:rFonts w:cs="Arial"/>
                <w:sz w:val="22"/>
                <w:szCs w:val="22"/>
              </w:rPr>
              <w:t>.</w:t>
            </w:r>
          </w:p>
          <w:p w14:paraId="237EBB55" w14:textId="77777777" w:rsidR="00687227" w:rsidRPr="00A45B48" w:rsidRDefault="00687227" w:rsidP="00EB15C2">
            <w:pPr>
              <w:rPr>
                <w:rFonts w:cs="Arial"/>
                <w:b/>
                <w:bCs/>
                <w:color w:val="339966"/>
                <w:sz w:val="22"/>
                <w:szCs w:val="22"/>
              </w:rPr>
            </w:pPr>
          </w:p>
          <w:p w14:paraId="43E91603" w14:textId="5FFE5890" w:rsidR="002A63D5" w:rsidRPr="00A45B48" w:rsidRDefault="00310AB3" w:rsidP="00EB15C2">
            <w:pPr>
              <w:rPr>
                <w:rFonts w:cs="Arial"/>
                <w:b/>
                <w:bCs/>
                <w:color w:val="339966"/>
                <w:sz w:val="22"/>
                <w:szCs w:val="22"/>
              </w:rPr>
            </w:pPr>
            <w:r w:rsidRPr="00A45B48">
              <w:rPr>
                <w:rFonts w:cs="Arial"/>
                <w:b/>
                <w:bCs/>
                <w:color w:val="339966"/>
                <w:sz w:val="22"/>
                <w:szCs w:val="22"/>
              </w:rPr>
              <w:t>2</w:t>
            </w:r>
            <w:r w:rsidR="00E94A4D" w:rsidRPr="00A45B48">
              <w:rPr>
                <w:rFonts w:cs="Arial"/>
                <w:b/>
                <w:bCs/>
                <w:color w:val="339966"/>
                <w:sz w:val="22"/>
                <w:szCs w:val="22"/>
              </w:rPr>
              <w:t>.</w:t>
            </w:r>
            <w:r w:rsidR="002A63D5" w:rsidRPr="00A45B48">
              <w:rPr>
                <w:rFonts w:cs="Arial"/>
                <w:b/>
                <w:bCs/>
                <w:color w:val="339966"/>
                <w:sz w:val="22"/>
                <w:szCs w:val="22"/>
              </w:rPr>
              <w:t>3</w:t>
            </w:r>
            <w:r w:rsidR="00E94A4D" w:rsidRPr="00A45B48">
              <w:rPr>
                <w:rFonts w:cs="Arial"/>
                <w:b/>
                <w:bCs/>
                <w:color w:val="339966"/>
                <w:sz w:val="22"/>
                <w:szCs w:val="22"/>
              </w:rPr>
              <w:t xml:space="preserve"> Service description/pathway</w:t>
            </w:r>
          </w:p>
          <w:p w14:paraId="373B97A6" w14:textId="77777777" w:rsidR="00501744" w:rsidRPr="00A45B48" w:rsidRDefault="00501744" w:rsidP="00EB15C2">
            <w:pPr>
              <w:rPr>
                <w:rFonts w:cs="Arial"/>
                <w:bCs/>
                <w:sz w:val="22"/>
                <w:szCs w:val="22"/>
                <w:u w:val="single"/>
              </w:rPr>
            </w:pPr>
          </w:p>
          <w:p w14:paraId="795C57D4" w14:textId="27AD1CEE" w:rsidR="007D404F" w:rsidRPr="00A45B48" w:rsidRDefault="00687227" w:rsidP="00EB15C2">
            <w:pPr>
              <w:rPr>
                <w:rFonts w:cs="Arial"/>
                <w:bCs/>
                <w:sz w:val="22"/>
                <w:szCs w:val="22"/>
                <w:u w:val="single"/>
              </w:rPr>
            </w:pPr>
            <w:r w:rsidRPr="00A45B48">
              <w:rPr>
                <w:rFonts w:cs="Arial"/>
                <w:bCs/>
                <w:sz w:val="22"/>
                <w:szCs w:val="22"/>
                <w:u w:val="single"/>
              </w:rPr>
              <w:t>Pharmacies providing supervised consumption treatment will:</w:t>
            </w:r>
          </w:p>
          <w:p w14:paraId="27744DAD" w14:textId="04359632" w:rsidR="00687227" w:rsidRPr="00A45B48" w:rsidRDefault="00687227" w:rsidP="00EB15C2">
            <w:pPr>
              <w:pStyle w:val="ListParagraph"/>
              <w:numPr>
                <w:ilvl w:val="0"/>
                <w:numId w:val="23"/>
              </w:numPr>
              <w:suppressAutoHyphens w:val="0"/>
              <w:ind w:left="714" w:right="204" w:hanging="357"/>
              <w:jc w:val="left"/>
              <w:rPr>
                <w:rFonts w:cs="Arial"/>
                <w:sz w:val="22"/>
                <w:szCs w:val="22"/>
              </w:rPr>
            </w:pPr>
            <w:r w:rsidRPr="00A45B48">
              <w:rPr>
                <w:rFonts w:cs="Arial"/>
                <w:sz w:val="22"/>
                <w:szCs w:val="22"/>
              </w:rPr>
              <w:t>Conduct supervision in a respectful and discreet manner. Where possible supervised administration should not take place in the dispensary</w:t>
            </w:r>
            <w:r w:rsidR="00501744" w:rsidRPr="00A45B48">
              <w:rPr>
                <w:rFonts w:cs="Arial"/>
                <w:sz w:val="22"/>
                <w:szCs w:val="22"/>
              </w:rPr>
              <w:t>.</w:t>
            </w:r>
          </w:p>
          <w:p w14:paraId="33D4C0A9" w14:textId="77777777" w:rsidR="00687227" w:rsidRPr="00A45B48" w:rsidRDefault="00687227" w:rsidP="00EB15C2">
            <w:pPr>
              <w:pStyle w:val="ListParagraph"/>
              <w:numPr>
                <w:ilvl w:val="0"/>
                <w:numId w:val="23"/>
              </w:numPr>
              <w:suppressAutoHyphens w:val="0"/>
              <w:jc w:val="left"/>
              <w:rPr>
                <w:rFonts w:cs="Arial"/>
                <w:sz w:val="22"/>
                <w:szCs w:val="22"/>
              </w:rPr>
            </w:pPr>
            <w:r w:rsidRPr="00A45B48">
              <w:rPr>
                <w:rFonts w:cs="Arial"/>
                <w:sz w:val="22"/>
                <w:szCs w:val="22"/>
              </w:rPr>
              <w:t xml:space="preserve">Supervised consumption </w:t>
            </w:r>
            <w:r w:rsidRPr="00A45B48">
              <w:rPr>
                <w:rStyle w:val="Strong"/>
                <w:rFonts w:cs="Arial"/>
                <w:sz w:val="22"/>
                <w:szCs w:val="22"/>
              </w:rPr>
              <w:t xml:space="preserve">must </w:t>
            </w:r>
            <w:r w:rsidRPr="00A45B48">
              <w:rPr>
                <w:rFonts w:cs="Arial"/>
                <w:sz w:val="22"/>
                <w:szCs w:val="22"/>
              </w:rPr>
              <w:t>be made under the direct supervision of a pharmacist or other suitably qualified person with delegated responsibility by the pharmacist at all times.</w:t>
            </w:r>
          </w:p>
          <w:p w14:paraId="03EFF2EF" w14:textId="77777777" w:rsidR="00687227" w:rsidRPr="00A45B48" w:rsidRDefault="00687227" w:rsidP="00EB15C2">
            <w:pPr>
              <w:pStyle w:val="ListParagraph"/>
              <w:numPr>
                <w:ilvl w:val="0"/>
                <w:numId w:val="23"/>
              </w:numPr>
              <w:suppressAutoHyphens w:val="0"/>
              <w:jc w:val="left"/>
              <w:rPr>
                <w:rFonts w:cs="Arial"/>
                <w:sz w:val="22"/>
                <w:szCs w:val="22"/>
              </w:rPr>
            </w:pPr>
            <w:r w:rsidRPr="00A45B48">
              <w:rPr>
                <w:rFonts w:cs="Arial"/>
                <w:sz w:val="22"/>
                <w:szCs w:val="22"/>
              </w:rPr>
              <w:t>Check the identity of the client and cross reference against the name on the medication container.</w:t>
            </w:r>
          </w:p>
          <w:p w14:paraId="27475EA4" w14:textId="16CFBC4E" w:rsidR="00687227" w:rsidRPr="00A45B48" w:rsidRDefault="00687227" w:rsidP="00EB15C2">
            <w:pPr>
              <w:pStyle w:val="ListParagraph"/>
              <w:numPr>
                <w:ilvl w:val="0"/>
                <w:numId w:val="23"/>
              </w:numPr>
              <w:suppressAutoHyphens w:val="0"/>
              <w:jc w:val="left"/>
              <w:rPr>
                <w:rFonts w:cs="Arial"/>
                <w:sz w:val="22"/>
                <w:szCs w:val="22"/>
              </w:rPr>
            </w:pPr>
            <w:r w:rsidRPr="00A45B48">
              <w:rPr>
                <w:rFonts w:cs="Arial"/>
                <w:sz w:val="22"/>
                <w:szCs w:val="22"/>
              </w:rPr>
              <w:t>All methadone prescribed and dispensed must be of 1mg/ml strength</w:t>
            </w:r>
            <w:r w:rsidR="00501744" w:rsidRPr="00A45B48">
              <w:rPr>
                <w:rFonts w:cs="Arial"/>
                <w:sz w:val="22"/>
                <w:szCs w:val="22"/>
              </w:rPr>
              <w:t>.</w:t>
            </w:r>
          </w:p>
          <w:p w14:paraId="78068CAC" w14:textId="563BDCF3" w:rsidR="00687227" w:rsidRPr="00A45B48" w:rsidRDefault="00687227" w:rsidP="00EB15C2">
            <w:pPr>
              <w:pStyle w:val="ListParagraph"/>
              <w:numPr>
                <w:ilvl w:val="0"/>
                <w:numId w:val="23"/>
              </w:numPr>
              <w:suppressAutoHyphens w:val="0"/>
              <w:jc w:val="left"/>
              <w:rPr>
                <w:rFonts w:cs="Arial"/>
                <w:sz w:val="22"/>
                <w:szCs w:val="22"/>
              </w:rPr>
            </w:pPr>
            <w:r w:rsidRPr="00A45B48">
              <w:rPr>
                <w:rFonts w:cs="Arial"/>
                <w:sz w:val="22"/>
                <w:szCs w:val="22"/>
              </w:rPr>
              <w:t xml:space="preserve">Dispense in specified instalments (doses may be dispensed for the patient to take away to cover days when the pharmacy is </w:t>
            </w:r>
            <w:r w:rsidR="00501744" w:rsidRPr="00A45B48">
              <w:rPr>
                <w:rFonts w:cs="Arial"/>
                <w:sz w:val="22"/>
                <w:szCs w:val="22"/>
              </w:rPr>
              <w:t>closed and</w:t>
            </w:r>
            <w:r w:rsidRPr="00A45B48">
              <w:rPr>
                <w:rFonts w:cs="Arial"/>
                <w:sz w:val="22"/>
                <w:szCs w:val="22"/>
              </w:rPr>
              <w:t xml:space="preserve"> will be remunerated through the normal prescription route)</w:t>
            </w:r>
            <w:r w:rsidR="00501744" w:rsidRPr="00A45B48">
              <w:rPr>
                <w:rFonts w:cs="Arial"/>
                <w:sz w:val="22"/>
                <w:szCs w:val="22"/>
              </w:rPr>
              <w:t>.</w:t>
            </w:r>
          </w:p>
          <w:p w14:paraId="2E4F8D2F" w14:textId="1F69702A"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Medicines will be issued in a suitable receptacle alongside water to facilitate complete administration. Staff supervising consumption of medication must ensure that the patient has swallowed the dose by either offering them a glass of water after the dose and ensuring that he or she drinks it, or by having a conversation with the patient after offering the dose. All reasonable steps should be taken to ensure that the client has consumed the medication</w:t>
            </w:r>
            <w:r w:rsidR="00501744" w:rsidRPr="00A45B48">
              <w:rPr>
                <w:rFonts w:cs="Arial"/>
                <w:sz w:val="22"/>
                <w:szCs w:val="22"/>
              </w:rPr>
              <w:t>.</w:t>
            </w:r>
          </w:p>
          <w:p w14:paraId="3CE810BA" w14:textId="77777777"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 xml:space="preserve">Following the consumption of medication, the Provider will observe the individual to quickly recognise and respond to any adverse effects. </w:t>
            </w:r>
          </w:p>
          <w:p w14:paraId="2DD68271" w14:textId="00DB10AD"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 xml:space="preserve">The Provider will collect, </w:t>
            </w:r>
            <w:r w:rsidR="00501744" w:rsidRPr="00A45B48">
              <w:rPr>
                <w:rFonts w:cs="Arial"/>
                <w:sz w:val="22"/>
                <w:szCs w:val="22"/>
              </w:rPr>
              <w:t>record,</w:t>
            </w:r>
            <w:r w:rsidRPr="00A45B48">
              <w:rPr>
                <w:rFonts w:cs="Arial"/>
                <w:sz w:val="22"/>
                <w:szCs w:val="22"/>
              </w:rPr>
              <w:t xml:space="preserve"> and report all relevant information</w:t>
            </w:r>
            <w:r w:rsidR="00501744" w:rsidRPr="00A45B48">
              <w:rPr>
                <w:rFonts w:cs="Arial"/>
                <w:sz w:val="22"/>
                <w:szCs w:val="22"/>
              </w:rPr>
              <w:t>.</w:t>
            </w:r>
          </w:p>
          <w:p w14:paraId="1956FED9" w14:textId="6F1B7318"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 xml:space="preserve">The Provider will work in partnership with the local specialist substance misuse treatment service (at the time of writing this is </w:t>
            </w:r>
            <w:r w:rsidR="002A63D5" w:rsidRPr="00A45B48">
              <w:rPr>
                <w:rFonts w:cs="Arial"/>
                <w:sz w:val="22"/>
                <w:szCs w:val="22"/>
              </w:rPr>
              <w:t>We Are With You</w:t>
            </w:r>
            <w:r w:rsidRPr="00A45B48">
              <w:rPr>
                <w:rFonts w:cs="Arial"/>
                <w:sz w:val="22"/>
                <w:szCs w:val="22"/>
              </w:rPr>
              <w:t>) and the provider of the local shared care scheme (at the time of writing this is Graham Road Surgery) and any other relevant primary care services to meet the needs of service users</w:t>
            </w:r>
            <w:r w:rsidR="00501744" w:rsidRPr="00A45B48">
              <w:rPr>
                <w:rFonts w:cs="Arial"/>
                <w:sz w:val="22"/>
                <w:szCs w:val="22"/>
              </w:rPr>
              <w:t>.</w:t>
            </w:r>
          </w:p>
          <w:p w14:paraId="397B7D7C" w14:textId="0B1B4D0B"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The Provider will take advantage of any interaction with a service user to discuss and respond to other health and social needs</w:t>
            </w:r>
            <w:r w:rsidR="00501744" w:rsidRPr="00A45B48">
              <w:rPr>
                <w:rFonts w:cs="Arial"/>
                <w:sz w:val="22"/>
                <w:szCs w:val="22"/>
              </w:rPr>
              <w:t>.</w:t>
            </w:r>
          </w:p>
          <w:p w14:paraId="5189CFCB" w14:textId="31675E9D" w:rsidR="00687227" w:rsidRPr="00A45B48" w:rsidRDefault="00687227" w:rsidP="00EB15C2">
            <w:pPr>
              <w:pStyle w:val="ListParagraph"/>
              <w:numPr>
                <w:ilvl w:val="0"/>
                <w:numId w:val="23"/>
              </w:numPr>
              <w:suppressAutoHyphens w:val="0"/>
              <w:ind w:right="206"/>
              <w:rPr>
                <w:rFonts w:cs="Arial"/>
                <w:sz w:val="22"/>
                <w:szCs w:val="22"/>
              </w:rPr>
            </w:pPr>
            <w:r w:rsidRPr="00A45B48">
              <w:rPr>
                <w:rFonts w:cs="Arial"/>
                <w:sz w:val="22"/>
                <w:szCs w:val="22"/>
              </w:rPr>
              <w:t>All staff involved in the provision of the service will have received training on all associated activities. North Somerset Council may request to see evidence that all relevant staff have completed the necessary training. The Provider will submit this to the Council within two working days of the request being received</w:t>
            </w:r>
            <w:r w:rsidR="00501744" w:rsidRPr="00A45B48">
              <w:rPr>
                <w:rFonts w:cs="Arial"/>
                <w:sz w:val="22"/>
                <w:szCs w:val="22"/>
              </w:rPr>
              <w:t>.</w:t>
            </w:r>
          </w:p>
          <w:p w14:paraId="2EF57F1B" w14:textId="65A568AD"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All staff involved in the provision of the service will operate within the requirements of the specification</w:t>
            </w:r>
            <w:r w:rsidR="00501744" w:rsidRPr="00A45B48">
              <w:rPr>
                <w:rFonts w:cs="Arial"/>
                <w:sz w:val="22"/>
                <w:szCs w:val="22"/>
              </w:rPr>
              <w:t>.</w:t>
            </w:r>
          </w:p>
          <w:p w14:paraId="1B19F8EA" w14:textId="15ADA52B" w:rsidR="00687227" w:rsidRPr="00A45B48" w:rsidRDefault="00687227" w:rsidP="00EB15C2">
            <w:pPr>
              <w:pStyle w:val="ListParagraph"/>
              <w:numPr>
                <w:ilvl w:val="0"/>
                <w:numId w:val="23"/>
              </w:numPr>
              <w:suppressAutoHyphens w:val="0"/>
              <w:ind w:right="206"/>
              <w:jc w:val="left"/>
              <w:rPr>
                <w:rFonts w:cs="Arial"/>
                <w:sz w:val="22"/>
                <w:szCs w:val="22"/>
              </w:rPr>
            </w:pPr>
            <w:proofErr w:type="spellStart"/>
            <w:r w:rsidRPr="00A45B48">
              <w:rPr>
                <w:rFonts w:cs="Arial"/>
                <w:sz w:val="22"/>
                <w:szCs w:val="22"/>
              </w:rPr>
              <w:t>PharmOutcomes</w:t>
            </w:r>
            <w:proofErr w:type="spellEnd"/>
            <w:r w:rsidRPr="00A45B48">
              <w:rPr>
                <w:rFonts w:cs="Arial"/>
                <w:sz w:val="22"/>
                <w:szCs w:val="22"/>
              </w:rPr>
              <w:t xml:space="preserve"> (online web system) will be used to record and report all supervised consumption data; all relevant fields must be completed and loaded in time to meet the payment run</w:t>
            </w:r>
            <w:r w:rsidR="00501744" w:rsidRPr="00A45B48">
              <w:rPr>
                <w:rFonts w:cs="Arial"/>
                <w:sz w:val="22"/>
                <w:szCs w:val="22"/>
              </w:rPr>
              <w:t>.</w:t>
            </w:r>
          </w:p>
          <w:p w14:paraId="4E6EF522" w14:textId="41A620D0"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lastRenderedPageBreak/>
              <w:t>The Provider, where appropriate, will share relevant information with other health care professionals and agencies. Any information sharing will comply with locally determined confidentiality arrangements</w:t>
            </w:r>
            <w:r w:rsidR="00501744" w:rsidRPr="00A45B48">
              <w:rPr>
                <w:rFonts w:cs="Arial"/>
                <w:sz w:val="22"/>
                <w:szCs w:val="22"/>
              </w:rPr>
              <w:t>.</w:t>
            </w:r>
          </w:p>
          <w:p w14:paraId="11BF082C" w14:textId="1D459C43" w:rsidR="00687227" w:rsidRPr="00A45B48" w:rsidRDefault="00687227" w:rsidP="00EB15C2">
            <w:pPr>
              <w:numPr>
                <w:ilvl w:val="0"/>
                <w:numId w:val="23"/>
              </w:numPr>
              <w:suppressAutoHyphens w:val="0"/>
              <w:ind w:right="206"/>
              <w:jc w:val="left"/>
              <w:rPr>
                <w:rFonts w:cs="Arial"/>
                <w:sz w:val="22"/>
                <w:szCs w:val="22"/>
              </w:rPr>
            </w:pPr>
            <w:r w:rsidRPr="00A45B48">
              <w:rPr>
                <w:rFonts w:cs="Arial"/>
                <w:sz w:val="22"/>
                <w:szCs w:val="22"/>
              </w:rPr>
              <w:t>All other protocols relevant to the safe and effective running of a health care service must be in place and followed. This includes protocols for such things as infection control, and medication storage</w:t>
            </w:r>
            <w:r w:rsidR="00501744" w:rsidRPr="00A45B48">
              <w:rPr>
                <w:rFonts w:cs="Arial"/>
                <w:sz w:val="22"/>
                <w:szCs w:val="22"/>
              </w:rPr>
              <w:t>.</w:t>
            </w:r>
          </w:p>
          <w:p w14:paraId="68A94C42" w14:textId="128881DF" w:rsidR="00687227" w:rsidRPr="00A45B48" w:rsidRDefault="00687227" w:rsidP="00EB15C2">
            <w:pPr>
              <w:numPr>
                <w:ilvl w:val="0"/>
                <w:numId w:val="23"/>
              </w:numPr>
              <w:suppressAutoHyphens w:val="0"/>
              <w:ind w:right="206"/>
              <w:jc w:val="left"/>
              <w:rPr>
                <w:rFonts w:cs="Arial"/>
                <w:bCs/>
                <w:sz w:val="22"/>
                <w:szCs w:val="22"/>
              </w:rPr>
            </w:pPr>
            <w:r w:rsidRPr="00A45B48">
              <w:rPr>
                <w:rFonts w:cs="Arial"/>
                <w:sz w:val="22"/>
                <w:szCs w:val="22"/>
              </w:rPr>
              <w:t>Providers will be expected to review the standard of their supervised consumption service. The Council may request to see both the content and outcomes of these reviews. On request for this information the Provider will submit the necessary documents to the Council within two working days</w:t>
            </w:r>
            <w:r w:rsidR="00501744" w:rsidRPr="00A45B48">
              <w:rPr>
                <w:rFonts w:cs="Arial"/>
                <w:sz w:val="22"/>
                <w:szCs w:val="22"/>
              </w:rPr>
              <w:t>.</w:t>
            </w:r>
          </w:p>
          <w:p w14:paraId="479D2005" w14:textId="19EAFF16" w:rsidR="00687227" w:rsidRPr="00A45B48" w:rsidRDefault="00687227" w:rsidP="00EB15C2">
            <w:pPr>
              <w:pStyle w:val="ListParagraph"/>
              <w:numPr>
                <w:ilvl w:val="0"/>
                <w:numId w:val="23"/>
              </w:numPr>
              <w:suppressAutoHyphens w:val="0"/>
              <w:ind w:right="206"/>
              <w:jc w:val="left"/>
              <w:rPr>
                <w:rFonts w:cs="Arial"/>
                <w:sz w:val="22"/>
                <w:szCs w:val="22"/>
              </w:rPr>
            </w:pPr>
            <w:r w:rsidRPr="00A45B48">
              <w:rPr>
                <w:rFonts w:cs="Arial"/>
                <w:sz w:val="22"/>
                <w:szCs w:val="22"/>
              </w:rPr>
              <w:t xml:space="preserve">Read and respond to all messages sent by the Council in relation to supervised </w:t>
            </w:r>
            <w:r w:rsidR="002A63D5" w:rsidRPr="00A45B48">
              <w:rPr>
                <w:rFonts w:cs="Arial"/>
                <w:sz w:val="22"/>
                <w:szCs w:val="22"/>
              </w:rPr>
              <w:t>c</w:t>
            </w:r>
            <w:r w:rsidRPr="00A45B48">
              <w:rPr>
                <w:rFonts w:cs="Arial"/>
                <w:sz w:val="22"/>
                <w:szCs w:val="22"/>
              </w:rPr>
              <w:t>onsumption as required including recording any actions taken</w:t>
            </w:r>
            <w:r w:rsidR="00501744" w:rsidRPr="00A45B48">
              <w:rPr>
                <w:rFonts w:cs="Arial"/>
                <w:sz w:val="22"/>
                <w:szCs w:val="22"/>
              </w:rPr>
              <w:t>.</w:t>
            </w:r>
          </w:p>
          <w:p w14:paraId="572F7DB0" w14:textId="5E9E4A30" w:rsidR="00687227" w:rsidRPr="00A45B48" w:rsidRDefault="00687227" w:rsidP="00EB15C2">
            <w:pPr>
              <w:pStyle w:val="ListParagraph"/>
              <w:numPr>
                <w:ilvl w:val="0"/>
                <w:numId w:val="23"/>
              </w:numPr>
              <w:suppressAutoHyphens w:val="0"/>
              <w:ind w:left="714" w:right="204" w:hanging="357"/>
              <w:jc w:val="left"/>
              <w:rPr>
                <w:rFonts w:cs="Arial"/>
                <w:bCs/>
                <w:sz w:val="22"/>
                <w:szCs w:val="22"/>
                <w:u w:val="single"/>
              </w:rPr>
            </w:pPr>
            <w:r w:rsidRPr="00A45B48">
              <w:rPr>
                <w:rFonts w:cs="Arial"/>
                <w:sz w:val="22"/>
                <w:szCs w:val="22"/>
              </w:rPr>
              <w:t xml:space="preserve">Comply with the Council’s Severe Weather </w:t>
            </w:r>
            <w:r w:rsidR="000D3BAF" w:rsidRPr="00A45B48">
              <w:rPr>
                <w:rFonts w:cs="Arial"/>
                <w:sz w:val="22"/>
                <w:szCs w:val="22"/>
              </w:rPr>
              <w:t xml:space="preserve">Emergency </w:t>
            </w:r>
            <w:r w:rsidRPr="00A45B48">
              <w:rPr>
                <w:rFonts w:cs="Arial"/>
                <w:sz w:val="22"/>
                <w:szCs w:val="22"/>
              </w:rPr>
              <w:t>Protocol</w:t>
            </w:r>
            <w:r w:rsidR="000D3BAF" w:rsidRPr="00A45B48">
              <w:rPr>
                <w:rFonts w:cs="Arial"/>
                <w:sz w:val="22"/>
                <w:szCs w:val="22"/>
              </w:rPr>
              <w:t xml:space="preserve"> (SWEP)</w:t>
            </w:r>
            <w:r w:rsidR="00501744" w:rsidRPr="00A45B48">
              <w:rPr>
                <w:rFonts w:cs="Arial"/>
                <w:sz w:val="22"/>
                <w:szCs w:val="22"/>
              </w:rPr>
              <w:t>.</w:t>
            </w:r>
          </w:p>
          <w:p w14:paraId="2F4943AC" w14:textId="6B7625C5" w:rsidR="00687227" w:rsidRPr="00A45B48" w:rsidRDefault="00687227" w:rsidP="00EB15C2">
            <w:pPr>
              <w:pStyle w:val="ListParagraph"/>
              <w:numPr>
                <w:ilvl w:val="0"/>
                <w:numId w:val="23"/>
              </w:numPr>
              <w:suppressAutoHyphens w:val="0"/>
              <w:ind w:right="206"/>
              <w:jc w:val="left"/>
              <w:rPr>
                <w:rFonts w:cs="Arial"/>
                <w:bCs/>
                <w:sz w:val="22"/>
                <w:szCs w:val="22"/>
                <w:u w:val="single"/>
              </w:rPr>
            </w:pPr>
            <w:r w:rsidRPr="00A45B48">
              <w:rPr>
                <w:rFonts w:cs="Arial"/>
                <w:sz w:val="22"/>
                <w:szCs w:val="22"/>
              </w:rPr>
              <w:t>Report all critical incidents related to dispensing and supervision of opiate substitute treatment to the council in line with the council’s critical incident protocol in addition</w:t>
            </w:r>
            <w:r w:rsidR="00320385" w:rsidRPr="00A45B48">
              <w:rPr>
                <w:rFonts w:cs="Arial"/>
                <w:sz w:val="22"/>
                <w:szCs w:val="22"/>
              </w:rPr>
              <w:t xml:space="preserve"> to the requirement to report to NHS England</w:t>
            </w:r>
            <w:r w:rsidR="00501744" w:rsidRPr="00A45B48">
              <w:rPr>
                <w:rFonts w:cs="Arial"/>
                <w:sz w:val="22"/>
                <w:szCs w:val="22"/>
              </w:rPr>
              <w:t>.</w:t>
            </w:r>
          </w:p>
          <w:p w14:paraId="65705FD7" w14:textId="77777777" w:rsidR="002A63D5" w:rsidRPr="00A45B48" w:rsidRDefault="002A63D5" w:rsidP="00EB15C2">
            <w:pPr>
              <w:pStyle w:val="BodyText"/>
              <w:rPr>
                <w:bCs/>
                <w:color w:val="339966"/>
              </w:rPr>
            </w:pPr>
          </w:p>
          <w:p w14:paraId="52C855AE" w14:textId="2A2E5A29" w:rsidR="00687227" w:rsidRPr="00A45B48" w:rsidRDefault="00F0133A" w:rsidP="00EB15C2">
            <w:pPr>
              <w:pStyle w:val="BodyText"/>
              <w:rPr>
                <w:bCs/>
                <w:color w:val="00B050"/>
              </w:rPr>
            </w:pPr>
            <w:r w:rsidRPr="00A45B48">
              <w:rPr>
                <w:bCs/>
                <w:color w:val="339966"/>
              </w:rPr>
              <w:t>2.</w:t>
            </w:r>
            <w:r w:rsidR="002A63D5" w:rsidRPr="00A45B48">
              <w:rPr>
                <w:bCs/>
                <w:color w:val="339966"/>
              </w:rPr>
              <w:t>3</w:t>
            </w:r>
            <w:r w:rsidRPr="00A45B48">
              <w:rPr>
                <w:bCs/>
                <w:color w:val="339966"/>
              </w:rPr>
              <w:t>.1</w:t>
            </w:r>
            <w:r w:rsidR="00687227" w:rsidRPr="00A45B48">
              <w:rPr>
                <w:bCs/>
                <w:color w:val="339966"/>
              </w:rPr>
              <w:t xml:space="preserve"> Dispensing arrangement changes</w:t>
            </w:r>
            <w:r w:rsidR="00687227" w:rsidRPr="00A45B48">
              <w:rPr>
                <w:bCs/>
                <w:color w:val="00B050"/>
              </w:rPr>
              <w:t>:</w:t>
            </w:r>
          </w:p>
          <w:p w14:paraId="6A8BDB16" w14:textId="77777777" w:rsidR="00687227" w:rsidRPr="00A45B48" w:rsidRDefault="00687227" w:rsidP="00EB15C2">
            <w:pPr>
              <w:pStyle w:val="BodyText"/>
              <w:spacing w:after="120"/>
              <w:rPr>
                <w:bCs/>
              </w:rPr>
            </w:pPr>
            <w:r w:rsidRPr="00A45B48">
              <w:rPr>
                <w:bCs/>
              </w:rPr>
              <w:t xml:space="preserve">If a dose is missed or dispensing arrangements are changed the following actions </w:t>
            </w:r>
            <w:r w:rsidRPr="00A45B48">
              <w:rPr>
                <w:b/>
              </w:rPr>
              <w:t>MUST</w:t>
            </w:r>
            <w:r w:rsidRPr="00A45B48">
              <w:rPr>
                <w:bCs/>
              </w:rPr>
              <w:t xml:space="preserve"> occur:</w:t>
            </w:r>
          </w:p>
          <w:p w14:paraId="1260C3E5" w14:textId="3D05AC3C" w:rsidR="00687227" w:rsidRPr="00A45B48" w:rsidRDefault="00687227" w:rsidP="00EB15C2">
            <w:pPr>
              <w:pStyle w:val="ListParagraph"/>
              <w:numPr>
                <w:ilvl w:val="0"/>
                <w:numId w:val="23"/>
              </w:numPr>
              <w:suppressAutoHyphens w:val="0"/>
              <w:ind w:left="714" w:hanging="357"/>
              <w:jc w:val="left"/>
              <w:rPr>
                <w:rFonts w:cs="Arial"/>
                <w:b/>
                <w:sz w:val="22"/>
                <w:szCs w:val="22"/>
              </w:rPr>
            </w:pPr>
            <w:r w:rsidRPr="00A45B48">
              <w:rPr>
                <w:rFonts w:cs="Arial"/>
                <w:sz w:val="22"/>
                <w:szCs w:val="22"/>
              </w:rPr>
              <w:t xml:space="preserve">All dispensing must be conducted in accordance with the prescription, there is </w:t>
            </w:r>
            <w:r w:rsidRPr="00A45B48">
              <w:rPr>
                <w:rFonts w:cs="Arial"/>
                <w:b/>
                <w:bCs/>
                <w:sz w:val="22"/>
                <w:szCs w:val="22"/>
              </w:rPr>
              <w:t>NO</w:t>
            </w:r>
            <w:r w:rsidRPr="00A45B48">
              <w:rPr>
                <w:rFonts w:cs="Arial"/>
                <w:sz w:val="22"/>
                <w:szCs w:val="22"/>
              </w:rPr>
              <w:t xml:space="preserve"> room for flexibility</w:t>
            </w:r>
            <w:r w:rsidR="00316EB2" w:rsidRPr="00A45B48">
              <w:rPr>
                <w:rFonts w:cs="Arial"/>
                <w:sz w:val="22"/>
                <w:szCs w:val="22"/>
              </w:rPr>
              <w:t>.</w:t>
            </w:r>
            <w:r w:rsidRPr="00A45B48">
              <w:rPr>
                <w:rFonts w:cs="Arial"/>
                <w:sz w:val="22"/>
                <w:szCs w:val="22"/>
              </w:rPr>
              <w:t xml:space="preserve"> </w:t>
            </w:r>
          </w:p>
          <w:p w14:paraId="2547E70F" w14:textId="1DAD3DFC" w:rsidR="00687227" w:rsidRPr="00A45B48" w:rsidRDefault="00687227" w:rsidP="00EB15C2">
            <w:pPr>
              <w:pStyle w:val="ListParagraph"/>
              <w:numPr>
                <w:ilvl w:val="0"/>
                <w:numId w:val="23"/>
              </w:numPr>
              <w:suppressAutoHyphens w:val="0"/>
              <w:ind w:left="714" w:hanging="357"/>
              <w:jc w:val="left"/>
              <w:rPr>
                <w:rFonts w:cs="Arial"/>
                <w:b/>
                <w:sz w:val="22"/>
                <w:szCs w:val="22"/>
              </w:rPr>
            </w:pPr>
            <w:r w:rsidRPr="00A45B48">
              <w:rPr>
                <w:rFonts w:cs="Arial"/>
                <w:sz w:val="22"/>
                <w:szCs w:val="22"/>
              </w:rPr>
              <w:t>Any concerns relating to the information contained in a prescription must be discussed with the agency that generated the prescription prior to any medication being dispensed</w:t>
            </w:r>
            <w:r w:rsidR="00316EB2" w:rsidRPr="00A45B48">
              <w:rPr>
                <w:rFonts w:cs="Arial"/>
                <w:sz w:val="22"/>
                <w:szCs w:val="22"/>
              </w:rPr>
              <w:t>.</w:t>
            </w:r>
          </w:p>
          <w:p w14:paraId="58C7CC89" w14:textId="19FE57E0" w:rsidR="00320385" w:rsidRPr="00A45B48" w:rsidRDefault="00687227" w:rsidP="00EB15C2">
            <w:pPr>
              <w:pStyle w:val="ListParagraph"/>
              <w:numPr>
                <w:ilvl w:val="0"/>
                <w:numId w:val="23"/>
              </w:numPr>
              <w:suppressAutoHyphens w:val="0"/>
              <w:ind w:left="714" w:hanging="357"/>
              <w:jc w:val="left"/>
              <w:rPr>
                <w:rFonts w:cs="Arial"/>
                <w:sz w:val="22"/>
                <w:szCs w:val="22"/>
              </w:rPr>
            </w:pPr>
            <w:r w:rsidRPr="00A45B48">
              <w:rPr>
                <w:rFonts w:cs="Arial"/>
                <w:sz w:val="22"/>
                <w:szCs w:val="22"/>
              </w:rPr>
              <w:t xml:space="preserve">Any requests made by service users to change dispensing arrangements, for example holiday scripts, change of </w:t>
            </w:r>
            <w:r w:rsidR="002A63D5" w:rsidRPr="00A45B48">
              <w:rPr>
                <w:rFonts w:cs="Arial"/>
                <w:sz w:val="22"/>
                <w:szCs w:val="22"/>
              </w:rPr>
              <w:t>pick-up</w:t>
            </w:r>
            <w:r w:rsidRPr="00A45B48">
              <w:rPr>
                <w:rFonts w:cs="Arial"/>
                <w:sz w:val="22"/>
                <w:szCs w:val="22"/>
              </w:rPr>
              <w:t xml:space="preserve"> regime (e.g. from supervised to take home) or a request for third person to collect the medication, must have been agreed by </w:t>
            </w:r>
            <w:r w:rsidR="002A63D5" w:rsidRPr="00A45B48">
              <w:rPr>
                <w:rFonts w:cs="Arial"/>
                <w:sz w:val="22"/>
                <w:szCs w:val="22"/>
              </w:rPr>
              <w:t>We Are With You</w:t>
            </w:r>
            <w:r w:rsidRPr="00A45B48">
              <w:rPr>
                <w:rFonts w:cs="Arial"/>
                <w:sz w:val="22"/>
                <w:szCs w:val="22"/>
              </w:rPr>
              <w:t xml:space="preserve"> beforehand.  For this to be actioned any request will have to be made to </w:t>
            </w:r>
            <w:r w:rsidR="002A63D5" w:rsidRPr="00A45B48">
              <w:rPr>
                <w:rFonts w:cs="Arial"/>
                <w:sz w:val="22"/>
                <w:szCs w:val="22"/>
              </w:rPr>
              <w:t>We Are With You</w:t>
            </w:r>
            <w:r w:rsidRPr="00A45B48">
              <w:rPr>
                <w:rFonts w:cs="Arial"/>
                <w:sz w:val="22"/>
                <w:szCs w:val="22"/>
              </w:rPr>
              <w:t xml:space="preserve"> (preferably in </w:t>
            </w:r>
            <w:r w:rsidR="002A63D5" w:rsidRPr="00A45B48">
              <w:rPr>
                <w:rFonts w:cs="Arial"/>
                <w:sz w:val="22"/>
                <w:szCs w:val="22"/>
              </w:rPr>
              <w:t xml:space="preserve">writing to </w:t>
            </w:r>
            <w:hyperlink r:id="rId12" w:history="1">
              <w:r w:rsidR="002A63D5" w:rsidRPr="00A45B48">
                <w:rPr>
                  <w:rStyle w:val="Hyperlink"/>
                  <w:rFonts w:cs="Arial"/>
                  <w:sz w:val="22"/>
                  <w:szCs w:val="22"/>
                </w:rPr>
                <w:t>ns.wearewithyou@nhs.net</w:t>
              </w:r>
            </w:hyperlink>
            <w:r w:rsidR="002A63D5" w:rsidRPr="00A45B48">
              <w:rPr>
                <w:rFonts w:cs="Arial"/>
                <w:sz w:val="22"/>
                <w:szCs w:val="22"/>
              </w:rPr>
              <w:t>)</w:t>
            </w:r>
            <w:r w:rsidRPr="00A45B48">
              <w:rPr>
                <w:rFonts w:cs="Arial"/>
                <w:sz w:val="22"/>
                <w:szCs w:val="22"/>
              </w:rPr>
              <w:t xml:space="preserve"> during office hours (Monday, Tuesday &amp; Thursday 08:00 – 17:00; Wednesday &amp; Friday 08:00 – 20:00). Routine requests usually require a minimum of 14 days’ notice and make take several days for confirmation.</w:t>
            </w:r>
            <w:r w:rsidRPr="00A45B48">
              <w:rPr>
                <w:rFonts w:cs="Arial"/>
                <w:b/>
                <w:sz w:val="22"/>
                <w:szCs w:val="22"/>
              </w:rPr>
              <w:t xml:space="preserve">  </w:t>
            </w:r>
            <w:r w:rsidRPr="00A45B48">
              <w:rPr>
                <w:rFonts w:cs="Arial"/>
                <w:sz w:val="22"/>
                <w:szCs w:val="22"/>
              </w:rPr>
              <w:t>Urgent requests (e.g. the need for a third person to collect medication due to client being too ill to attend) will be discussed and a decision reached on the same day. Urgent requests may be made by telephone to ensure it is received and actioned as soon as practicable</w:t>
            </w:r>
            <w:r w:rsidR="00316EB2" w:rsidRPr="00A45B48">
              <w:rPr>
                <w:rFonts w:cs="Arial"/>
                <w:sz w:val="22"/>
                <w:szCs w:val="22"/>
              </w:rPr>
              <w:t>.</w:t>
            </w:r>
          </w:p>
          <w:p w14:paraId="5DD12484" w14:textId="31CA0474" w:rsidR="00687227" w:rsidRPr="00A45B48" w:rsidRDefault="00320385" w:rsidP="00EB15C2">
            <w:pPr>
              <w:pStyle w:val="ListParagraph"/>
              <w:numPr>
                <w:ilvl w:val="0"/>
                <w:numId w:val="23"/>
              </w:numPr>
              <w:suppressAutoHyphens w:val="0"/>
              <w:ind w:left="714" w:right="206" w:hanging="357"/>
              <w:jc w:val="left"/>
              <w:rPr>
                <w:rFonts w:cs="Arial"/>
                <w:sz w:val="22"/>
                <w:szCs w:val="22"/>
              </w:rPr>
            </w:pPr>
            <w:r w:rsidRPr="00A45B48">
              <w:rPr>
                <w:rFonts w:cs="Arial"/>
                <w:sz w:val="22"/>
                <w:szCs w:val="22"/>
              </w:rPr>
              <w:t xml:space="preserve">If a patient misses daily pick-up of medicines (methadone or buprenorphine) for three days this should be communicated with the prescriber as it may be an indicator of instability or increasing risk.(see Orange book p106 section </w:t>
            </w:r>
            <w:r w:rsidRPr="00A45B48">
              <w:rPr>
                <w:rFonts w:cs="Arial"/>
                <w:color w:val="000000"/>
                <w:sz w:val="22"/>
                <w:szCs w:val="22"/>
              </w:rPr>
              <w:t xml:space="preserve">4.6.3.3 </w:t>
            </w:r>
            <w:hyperlink r:id="rId13" w:history="1">
              <w:r w:rsidR="002A63D5" w:rsidRPr="00A45B48">
                <w:rPr>
                  <w:rStyle w:val="Hyperlink"/>
                  <w:rFonts w:cs="Arial"/>
                  <w:sz w:val="22"/>
                  <w:szCs w:val="22"/>
                </w:rPr>
                <w:t>https://assets.publishing.service.gov.uk/government/uploads/system/uploads/attachment_data/file/673978/clinical_guidelines_2017.pdf</w:t>
              </w:r>
            </w:hyperlink>
            <w:r w:rsidRPr="00A45B48">
              <w:rPr>
                <w:rFonts w:cs="Arial"/>
                <w:color w:val="000000"/>
                <w:sz w:val="22"/>
                <w:szCs w:val="22"/>
              </w:rPr>
              <w:t xml:space="preserve">)  Local protocol requires the </w:t>
            </w:r>
            <w:r w:rsidR="00687227" w:rsidRPr="00A45B48">
              <w:rPr>
                <w:rFonts w:cs="Arial"/>
                <w:sz w:val="22"/>
                <w:szCs w:val="22"/>
              </w:rPr>
              <w:t xml:space="preserve">Provider </w:t>
            </w:r>
            <w:r w:rsidRPr="00A45B48">
              <w:rPr>
                <w:rFonts w:cs="Arial"/>
                <w:sz w:val="22"/>
                <w:szCs w:val="22"/>
              </w:rPr>
              <w:t>to</w:t>
            </w:r>
            <w:r w:rsidR="00687227" w:rsidRPr="00A45B48">
              <w:rPr>
                <w:rFonts w:cs="Arial"/>
                <w:sz w:val="22"/>
                <w:szCs w:val="22"/>
              </w:rPr>
              <w:t xml:space="preserve"> report any missed collections to </w:t>
            </w:r>
            <w:r w:rsidR="002A63D5" w:rsidRPr="00A45B48">
              <w:rPr>
                <w:rFonts w:cs="Arial"/>
                <w:sz w:val="22"/>
                <w:szCs w:val="22"/>
              </w:rPr>
              <w:t>We Are With You</w:t>
            </w:r>
            <w:r w:rsidR="00687227" w:rsidRPr="00A45B48">
              <w:rPr>
                <w:rFonts w:cs="Arial"/>
                <w:sz w:val="22"/>
                <w:szCs w:val="22"/>
              </w:rPr>
              <w:t xml:space="preserve"> (01934 427940) within 24 hours of a client failing to collect their prescription</w:t>
            </w:r>
            <w:r w:rsidR="00316EB2" w:rsidRPr="00A45B48">
              <w:rPr>
                <w:rFonts w:cs="Arial"/>
                <w:sz w:val="22"/>
                <w:szCs w:val="22"/>
              </w:rPr>
              <w:t>.</w:t>
            </w:r>
          </w:p>
          <w:p w14:paraId="3B72BCC3" w14:textId="77777777" w:rsidR="00687227" w:rsidRPr="00A45B48" w:rsidRDefault="00687227" w:rsidP="00EB15C2">
            <w:pPr>
              <w:pStyle w:val="BodyText"/>
              <w:rPr>
                <w:bCs/>
              </w:rPr>
            </w:pPr>
          </w:p>
          <w:p w14:paraId="3BC05264" w14:textId="0FEA6E82" w:rsidR="00687227" w:rsidRPr="00A45B48" w:rsidRDefault="00F0133A" w:rsidP="00EB15C2">
            <w:pPr>
              <w:rPr>
                <w:rFonts w:cs="Arial"/>
                <w:color w:val="339966"/>
                <w:sz w:val="22"/>
                <w:szCs w:val="22"/>
              </w:rPr>
            </w:pPr>
            <w:r w:rsidRPr="00A45B48">
              <w:rPr>
                <w:rFonts w:cs="Arial"/>
                <w:bCs/>
                <w:color w:val="339966"/>
                <w:sz w:val="22"/>
                <w:szCs w:val="22"/>
              </w:rPr>
              <w:t>2.</w:t>
            </w:r>
            <w:r w:rsidR="002A63D5" w:rsidRPr="00A45B48">
              <w:rPr>
                <w:rFonts w:cs="Arial"/>
                <w:bCs/>
                <w:color w:val="339966"/>
                <w:sz w:val="22"/>
                <w:szCs w:val="22"/>
              </w:rPr>
              <w:t>3</w:t>
            </w:r>
            <w:r w:rsidRPr="00A45B48">
              <w:rPr>
                <w:rFonts w:cs="Arial"/>
                <w:bCs/>
                <w:color w:val="339966"/>
                <w:sz w:val="22"/>
                <w:szCs w:val="22"/>
              </w:rPr>
              <w:t>.2</w:t>
            </w:r>
            <w:r w:rsidR="00687227" w:rsidRPr="00A45B48">
              <w:rPr>
                <w:rFonts w:cs="Arial"/>
                <w:bCs/>
                <w:color w:val="339966"/>
                <w:sz w:val="22"/>
                <w:szCs w:val="22"/>
              </w:rPr>
              <w:t xml:space="preserve"> </w:t>
            </w:r>
            <w:r w:rsidR="00687227" w:rsidRPr="00A45B48">
              <w:rPr>
                <w:rFonts w:cs="Arial"/>
                <w:color w:val="339966"/>
                <w:sz w:val="22"/>
                <w:szCs w:val="22"/>
              </w:rPr>
              <w:t>Standard Operating Procedures (SOPs)</w:t>
            </w:r>
          </w:p>
          <w:p w14:paraId="5C25A017" w14:textId="77777777" w:rsidR="00687227" w:rsidRPr="00A45B48" w:rsidRDefault="00687227" w:rsidP="00EB15C2">
            <w:pPr>
              <w:rPr>
                <w:rFonts w:cs="Arial"/>
                <w:sz w:val="22"/>
                <w:szCs w:val="22"/>
              </w:rPr>
            </w:pPr>
            <w:r w:rsidRPr="00A45B48">
              <w:rPr>
                <w:rFonts w:cs="Arial"/>
                <w:sz w:val="22"/>
                <w:szCs w:val="22"/>
              </w:rPr>
              <w:t>Each pharmacy is required to have up to date SOPs which cover all aspects of this service. In line with the Controlled Drugs Regulations 2013 the SOPs must cover the following matters -</w:t>
            </w:r>
          </w:p>
          <w:p w14:paraId="2A7B836D" w14:textId="08C52812" w:rsidR="00687227" w:rsidRPr="00A45B48" w:rsidRDefault="00687227" w:rsidP="00EB15C2">
            <w:pPr>
              <w:pStyle w:val="ListParagraph"/>
              <w:numPr>
                <w:ilvl w:val="0"/>
                <w:numId w:val="29"/>
              </w:numPr>
              <w:suppressAutoHyphens w:val="0"/>
              <w:jc w:val="left"/>
              <w:rPr>
                <w:rFonts w:cs="Arial"/>
                <w:sz w:val="22"/>
                <w:szCs w:val="22"/>
              </w:rPr>
            </w:pPr>
            <w:r w:rsidRPr="00A45B48">
              <w:rPr>
                <w:rFonts w:cs="Arial"/>
                <w:sz w:val="22"/>
                <w:szCs w:val="22"/>
              </w:rPr>
              <w:t>Who has access to controlled drugs</w:t>
            </w:r>
            <w:r w:rsidR="00316EB2" w:rsidRPr="00A45B48">
              <w:rPr>
                <w:rFonts w:cs="Arial"/>
                <w:sz w:val="22"/>
                <w:szCs w:val="22"/>
              </w:rPr>
              <w:t>.</w:t>
            </w:r>
          </w:p>
          <w:p w14:paraId="5F6DA3BE" w14:textId="0E9F0180" w:rsidR="00687227" w:rsidRPr="00A45B48" w:rsidRDefault="00687227" w:rsidP="00EB15C2">
            <w:pPr>
              <w:pStyle w:val="ListParagraph"/>
              <w:numPr>
                <w:ilvl w:val="0"/>
                <w:numId w:val="29"/>
              </w:numPr>
              <w:suppressAutoHyphens w:val="0"/>
              <w:jc w:val="left"/>
              <w:rPr>
                <w:rFonts w:cs="Arial"/>
                <w:sz w:val="22"/>
                <w:szCs w:val="22"/>
              </w:rPr>
            </w:pPr>
            <w:r w:rsidRPr="00A45B48">
              <w:rPr>
                <w:rFonts w:cs="Arial"/>
                <w:sz w:val="22"/>
                <w:szCs w:val="22"/>
              </w:rPr>
              <w:t>Where the controlled drugs are stored</w:t>
            </w:r>
            <w:r w:rsidR="00316EB2" w:rsidRPr="00A45B48">
              <w:rPr>
                <w:rFonts w:cs="Arial"/>
                <w:sz w:val="22"/>
                <w:szCs w:val="22"/>
              </w:rPr>
              <w:t>.</w:t>
            </w:r>
          </w:p>
          <w:p w14:paraId="0C2FA43E" w14:textId="05093F81" w:rsidR="00687227" w:rsidRPr="00A45B48" w:rsidRDefault="00687227" w:rsidP="00EB15C2">
            <w:pPr>
              <w:pStyle w:val="ListParagraph"/>
              <w:numPr>
                <w:ilvl w:val="0"/>
                <w:numId w:val="29"/>
              </w:numPr>
              <w:suppressAutoHyphens w:val="0"/>
              <w:jc w:val="left"/>
              <w:rPr>
                <w:rFonts w:cs="Arial"/>
                <w:sz w:val="22"/>
                <w:szCs w:val="22"/>
              </w:rPr>
            </w:pPr>
            <w:r w:rsidRPr="00A45B48">
              <w:rPr>
                <w:rFonts w:cs="Arial"/>
                <w:sz w:val="22"/>
                <w:szCs w:val="22"/>
              </w:rPr>
              <w:t>Security in relation to the storage and transportation of controlled drugs as required by the misuse of drugs legislation</w:t>
            </w:r>
            <w:r w:rsidR="00316EB2" w:rsidRPr="00A45B48">
              <w:rPr>
                <w:rFonts w:cs="Arial"/>
                <w:sz w:val="22"/>
                <w:szCs w:val="22"/>
              </w:rPr>
              <w:t>.</w:t>
            </w:r>
          </w:p>
          <w:p w14:paraId="1ABC8770" w14:textId="4ED5ED96" w:rsidR="00687227" w:rsidRPr="00A45B48" w:rsidRDefault="00687227" w:rsidP="00EB15C2">
            <w:pPr>
              <w:pStyle w:val="ListParagraph"/>
              <w:numPr>
                <w:ilvl w:val="0"/>
                <w:numId w:val="29"/>
              </w:numPr>
              <w:suppressAutoHyphens w:val="0"/>
              <w:jc w:val="left"/>
              <w:rPr>
                <w:rFonts w:cs="Arial"/>
                <w:sz w:val="22"/>
                <w:szCs w:val="22"/>
              </w:rPr>
            </w:pPr>
            <w:r w:rsidRPr="00A45B48">
              <w:rPr>
                <w:rFonts w:cs="Arial"/>
                <w:sz w:val="22"/>
                <w:szCs w:val="22"/>
              </w:rPr>
              <w:t>Disposal and destruction of controlled drugs</w:t>
            </w:r>
            <w:r w:rsidR="00316EB2" w:rsidRPr="00A45B48">
              <w:rPr>
                <w:rFonts w:cs="Arial"/>
                <w:sz w:val="22"/>
                <w:szCs w:val="22"/>
              </w:rPr>
              <w:t>.</w:t>
            </w:r>
          </w:p>
          <w:p w14:paraId="4DA48DE8" w14:textId="00087667" w:rsidR="00687227" w:rsidRPr="00A45B48" w:rsidRDefault="00687227" w:rsidP="00EB15C2">
            <w:pPr>
              <w:pStyle w:val="ListParagraph"/>
              <w:numPr>
                <w:ilvl w:val="0"/>
                <w:numId w:val="29"/>
              </w:numPr>
              <w:suppressAutoHyphens w:val="0"/>
              <w:jc w:val="left"/>
              <w:rPr>
                <w:rFonts w:cs="Arial"/>
                <w:sz w:val="22"/>
                <w:szCs w:val="22"/>
              </w:rPr>
            </w:pPr>
            <w:r w:rsidRPr="00A45B48">
              <w:rPr>
                <w:rFonts w:cs="Arial"/>
                <w:sz w:val="22"/>
                <w:szCs w:val="22"/>
              </w:rPr>
              <w:t>Who is to be alerted if complications arise</w:t>
            </w:r>
            <w:r w:rsidR="00316EB2" w:rsidRPr="00A45B48">
              <w:rPr>
                <w:rFonts w:cs="Arial"/>
                <w:sz w:val="22"/>
                <w:szCs w:val="22"/>
              </w:rPr>
              <w:t>.</w:t>
            </w:r>
          </w:p>
          <w:p w14:paraId="3CE4DC4A" w14:textId="5FB2F7E7" w:rsidR="00687227" w:rsidRPr="00A45B48" w:rsidRDefault="00687227" w:rsidP="00EB15C2">
            <w:pPr>
              <w:pStyle w:val="ListParagraph"/>
              <w:numPr>
                <w:ilvl w:val="0"/>
                <w:numId w:val="29"/>
              </w:numPr>
              <w:suppressAutoHyphens w:val="0"/>
              <w:jc w:val="left"/>
              <w:rPr>
                <w:rFonts w:cs="Arial"/>
                <w:sz w:val="22"/>
                <w:szCs w:val="22"/>
              </w:rPr>
            </w:pPr>
            <w:r w:rsidRPr="00A45B48">
              <w:rPr>
                <w:rFonts w:cs="Arial"/>
                <w:sz w:val="22"/>
                <w:szCs w:val="22"/>
              </w:rPr>
              <w:lastRenderedPageBreak/>
              <w:t>Record keeping</w:t>
            </w:r>
            <w:r w:rsidR="00316EB2" w:rsidRPr="00A45B48">
              <w:rPr>
                <w:rFonts w:cs="Arial"/>
                <w:sz w:val="22"/>
                <w:szCs w:val="22"/>
              </w:rPr>
              <w:t>.</w:t>
            </w:r>
          </w:p>
          <w:p w14:paraId="32E3E903" w14:textId="77777777" w:rsidR="00687227" w:rsidRPr="00A45B48" w:rsidRDefault="00687227" w:rsidP="00EB15C2">
            <w:pPr>
              <w:ind w:left="1440"/>
              <w:rPr>
                <w:rFonts w:cs="Arial"/>
                <w:sz w:val="22"/>
                <w:szCs w:val="22"/>
              </w:rPr>
            </w:pPr>
          </w:p>
          <w:p w14:paraId="6C6EE1AB" w14:textId="77777777" w:rsidR="00687227" w:rsidRPr="00A45B48" w:rsidRDefault="00687227" w:rsidP="00EB15C2">
            <w:pPr>
              <w:pStyle w:val="BodyText"/>
              <w:rPr>
                <w:b/>
                <w:bCs/>
                <w:color w:val="00B050"/>
              </w:rPr>
            </w:pPr>
            <w:r w:rsidRPr="00A45B48">
              <w:t>In addition, SOPs must address where the supervised consumption will take place, who will supervise consumption and the process to be adopted.</w:t>
            </w:r>
          </w:p>
          <w:p w14:paraId="74D44532" w14:textId="77777777" w:rsidR="00687227" w:rsidRPr="00A45B48" w:rsidRDefault="00687227" w:rsidP="00EB15C2">
            <w:pPr>
              <w:pStyle w:val="BodyText"/>
              <w:rPr>
                <w:bCs/>
              </w:rPr>
            </w:pPr>
          </w:p>
          <w:p w14:paraId="7AA060B6" w14:textId="60912375" w:rsidR="00E94A4D" w:rsidRPr="00A45B48" w:rsidRDefault="00310AB3" w:rsidP="00EB15C2">
            <w:pPr>
              <w:rPr>
                <w:rFonts w:cs="Arial"/>
                <w:b/>
                <w:bCs/>
                <w:color w:val="339966"/>
                <w:sz w:val="22"/>
                <w:szCs w:val="22"/>
              </w:rPr>
            </w:pPr>
            <w:r w:rsidRPr="00A45B48">
              <w:rPr>
                <w:rFonts w:cs="Arial"/>
                <w:b/>
                <w:bCs/>
                <w:color w:val="339966"/>
                <w:sz w:val="22"/>
                <w:szCs w:val="22"/>
              </w:rPr>
              <w:t>2</w:t>
            </w:r>
            <w:r w:rsidR="00E94A4D" w:rsidRPr="00A45B48">
              <w:rPr>
                <w:rFonts w:cs="Arial"/>
                <w:b/>
                <w:bCs/>
                <w:color w:val="339966"/>
                <w:sz w:val="22"/>
                <w:szCs w:val="22"/>
              </w:rPr>
              <w:t>.</w:t>
            </w:r>
            <w:r w:rsidR="002A63D5" w:rsidRPr="00A45B48">
              <w:rPr>
                <w:rFonts w:cs="Arial"/>
                <w:b/>
                <w:bCs/>
                <w:color w:val="339966"/>
                <w:sz w:val="22"/>
                <w:szCs w:val="22"/>
              </w:rPr>
              <w:t>4</w:t>
            </w:r>
            <w:r w:rsidR="00E94A4D" w:rsidRPr="00A45B48">
              <w:rPr>
                <w:rFonts w:cs="Arial"/>
                <w:b/>
                <w:bCs/>
                <w:color w:val="339966"/>
                <w:sz w:val="22"/>
                <w:szCs w:val="22"/>
              </w:rPr>
              <w:t xml:space="preserve"> Population covered</w:t>
            </w:r>
          </w:p>
          <w:p w14:paraId="13E2BC6F" w14:textId="77777777" w:rsidR="00316EB2" w:rsidRPr="00A45B48" w:rsidRDefault="00316EB2" w:rsidP="00EB15C2">
            <w:pPr>
              <w:jc w:val="left"/>
              <w:rPr>
                <w:rFonts w:cs="Arial"/>
                <w:bCs/>
                <w:sz w:val="22"/>
                <w:szCs w:val="22"/>
              </w:rPr>
            </w:pPr>
          </w:p>
          <w:p w14:paraId="27220EDA" w14:textId="7C63B846" w:rsidR="00EF1CAF" w:rsidRPr="00A45B48" w:rsidRDefault="00EF1CAF" w:rsidP="00EB15C2">
            <w:pPr>
              <w:jc w:val="left"/>
              <w:rPr>
                <w:rFonts w:cs="Arial"/>
                <w:b/>
                <w:bCs/>
                <w:color w:val="339966"/>
                <w:sz w:val="22"/>
                <w:szCs w:val="22"/>
              </w:rPr>
            </w:pPr>
            <w:r w:rsidRPr="00A45B48">
              <w:rPr>
                <w:rFonts w:cs="Arial"/>
                <w:bCs/>
                <w:sz w:val="22"/>
                <w:szCs w:val="22"/>
              </w:rPr>
              <w:t>The North Somerset Supervised Consumption Scheme will be provided, at the request of the agency undertaking the prescribing, to any individuals in receipt of opiate substitution treatment</w:t>
            </w:r>
            <w:r w:rsidR="00316EB2" w:rsidRPr="00A45B48">
              <w:rPr>
                <w:rFonts w:cs="Arial"/>
                <w:bCs/>
                <w:sz w:val="22"/>
                <w:szCs w:val="22"/>
              </w:rPr>
              <w:t>.</w:t>
            </w:r>
          </w:p>
          <w:p w14:paraId="40269DEA" w14:textId="77777777" w:rsidR="000B011F" w:rsidRPr="00A45B48" w:rsidRDefault="000B011F" w:rsidP="00EB15C2">
            <w:pPr>
              <w:suppressAutoHyphens w:val="0"/>
              <w:contextualSpacing/>
              <w:jc w:val="left"/>
              <w:rPr>
                <w:rFonts w:cs="Arial"/>
                <w:b/>
                <w:bCs/>
                <w:color w:val="339966"/>
                <w:sz w:val="22"/>
                <w:szCs w:val="22"/>
              </w:rPr>
            </w:pPr>
          </w:p>
          <w:p w14:paraId="27865958" w14:textId="77777777" w:rsidR="00452192" w:rsidRPr="00A45B48" w:rsidRDefault="00310AB3" w:rsidP="00EB15C2">
            <w:pPr>
              <w:rPr>
                <w:rFonts w:cs="Arial"/>
                <w:b/>
                <w:bCs/>
                <w:color w:val="339966"/>
                <w:sz w:val="22"/>
                <w:szCs w:val="22"/>
              </w:rPr>
            </w:pPr>
            <w:r w:rsidRPr="00A45B48">
              <w:rPr>
                <w:rFonts w:cs="Arial"/>
                <w:b/>
                <w:bCs/>
                <w:color w:val="339966"/>
                <w:sz w:val="22"/>
                <w:szCs w:val="22"/>
              </w:rPr>
              <w:t>2</w:t>
            </w:r>
            <w:r w:rsidR="00E94A4D" w:rsidRPr="00A45B48">
              <w:rPr>
                <w:rFonts w:cs="Arial"/>
                <w:b/>
                <w:bCs/>
                <w:color w:val="339966"/>
                <w:sz w:val="22"/>
                <w:szCs w:val="22"/>
              </w:rPr>
              <w:t>.</w:t>
            </w:r>
            <w:r w:rsidR="002A63D5" w:rsidRPr="00A45B48">
              <w:rPr>
                <w:rFonts w:cs="Arial"/>
                <w:b/>
                <w:bCs/>
                <w:color w:val="339966"/>
                <w:sz w:val="22"/>
                <w:szCs w:val="22"/>
              </w:rPr>
              <w:t>5</w:t>
            </w:r>
            <w:r w:rsidR="00E94A4D" w:rsidRPr="00A45B48">
              <w:rPr>
                <w:rFonts w:cs="Arial"/>
                <w:b/>
                <w:bCs/>
                <w:color w:val="339966"/>
                <w:sz w:val="22"/>
                <w:szCs w:val="22"/>
              </w:rPr>
              <w:t xml:space="preserve"> Any acceptance and exclusion criteria and thresholds </w:t>
            </w:r>
          </w:p>
          <w:p w14:paraId="6D989A5B" w14:textId="77777777" w:rsidR="00452192" w:rsidRPr="00A45B48" w:rsidRDefault="00452192" w:rsidP="00EB15C2">
            <w:pPr>
              <w:rPr>
                <w:rFonts w:cs="Arial"/>
                <w:color w:val="000000"/>
                <w:sz w:val="22"/>
                <w:szCs w:val="22"/>
              </w:rPr>
            </w:pPr>
          </w:p>
          <w:p w14:paraId="04859D8D" w14:textId="681E4DB9" w:rsidR="00AE2091" w:rsidRPr="00A45B48" w:rsidRDefault="00452192" w:rsidP="00EB15C2">
            <w:pPr>
              <w:rPr>
                <w:rFonts w:cs="Arial"/>
                <w:color w:val="000000"/>
                <w:sz w:val="22"/>
                <w:szCs w:val="22"/>
              </w:rPr>
            </w:pPr>
            <w:r w:rsidRPr="00A45B48">
              <w:rPr>
                <w:rFonts w:cs="Arial"/>
                <w:color w:val="000000"/>
                <w:sz w:val="22"/>
                <w:szCs w:val="22"/>
              </w:rPr>
              <w:t>See 2.4.</w:t>
            </w:r>
          </w:p>
          <w:p w14:paraId="017C5F7E" w14:textId="77777777" w:rsidR="00452192" w:rsidRPr="00A45B48" w:rsidRDefault="00452192" w:rsidP="00EB15C2">
            <w:pPr>
              <w:rPr>
                <w:rFonts w:cs="Arial"/>
                <w:b/>
                <w:bCs/>
                <w:color w:val="339966"/>
                <w:sz w:val="22"/>
                <w:szCs w:val="22"/>
              </w:rPr>
            </w:pPr>
          </w:p>
          <w:p w14:paraId="14F9EB30" w14:textId="1E7B3CD4" w:rsidR="00E94A4D" w:rsidRPr="00A45B48" w:rsidRDefault="00310AB3" w:rsidP="00EB15C2">
            <w:pPr>
              <w:rPr>
                <w:rFonts w:cs="Arial"/>
                <w:b/>
                <w:bCs/>
                <w:color w:val="339966"/>
                <w:sz w:val="22"/>
                <w:szCs w:val="22"/>
              </w:rPr>
            </w:pPr>
            <w:r w:rsidRPr="00A45B48">
              <w:rPr>
                <w:rFonts w:cs="Arial"/>
                <w:b/>
                <w:bCs/>
                <w:color w:val="339966"/>
                <w:sz w:val="22"/>
                <w:szCs w:val="22"/>
              </w:rPr>
              <w:t>2</w:t>
            </w:r>
            <w:r w:rsidR="00E94A4D" w:rsidRPr="00A45B48">
              <w:rPr>
                <w:rFonts w:cs="Arial"/>
                <w:b/>
                <w:bCs/>
                <w:color w:val="339966"/>
                <w:sz w:val="22"/>
                <w:szCs w:val="22"/>
              </w:rPr>
              <w:t>.</w:t>
            </w:r>
            <w:r w:rsidR="002A63D5" w:rsidRPr="00A45B48">
              <w:rPr>
                <w:rFonts w:cs="Arial"/>
                <w:b/>
                <w:bCs/>
                <w:color w:val="339966"/>
                <w:sz w:val="22"/>
                <w:szCs w:val="22"/>
              </w:rPr>
              <w:t>6</w:t>
            </w:r>
            <w:r w:rsidR="00E94A4D" w:rsidRPr="00A45B48">
              <w:rPr>
                <w:rFonts w:cs="Arial"/>
                <w:b/>
                <w:bCs/>
                <w:color w:val="339966"/>
                <w:sz w:val="22"/>
                <w:szCs w:val="22"/>
              </w:rPr>
              <w:t xml:space="preserve"> Interdependencies with other services</w:t>
            </w:r>
          </w:p>
          <w:p w14:paraId="3A6B979C" w14:textId="44FC3AD4" w:rsidR="00B34609" w:rsidRPr="00A45B48" w:rsidRDefault="00B34609" w:rsidP="00EB15C2">
            <w:pPr>
              <w:rPr>
                <w:rFonts w:cs="Arial"/>
                <w:b/>
                <w:bCs/>
                <w:color w:val="339966"/>
                <w:sz w:val="22"/>
                <w:szCs w:val="22"/>
              </w:rPr>
            </w:pPr>
            <w:r w:rsidRPr="00A45B48">
              <w:rPr>
                <w:rFonts w:cs="Arial"/>
                <w:bCs/>
                <w:sz w:val="22"/>
                <w:szCs w:val="22"/>
              </w:rPr>
              <w:t>The provider will work with the specialist services below to ensure clients receive continuity of care and timely medication. Any queries related to prescriptions should be communicated to the specialist substance misuse service and the specialist GP prescriber where appropriate</w:t>
            </w:r>
            <w:r w:rsidR="00452192" w:rsidRPr="00A45B48">
              <w:rPr>
                <w:rFonts w:cs="Arial"/>
                <w:bCs/>
                <w:sz w:val="22"/>
                <w:szCs w:val="22"/>
              </w:rPr>
              <w:t>:</w:t>
            </w:r>
          </w:p>
          <w:p w14:paraId="52C0566B" w14:textId="5308C4CC" w:rsidR="001878A4" w:rsidRPr="00A45B48" w:rsidRDefault="00B34609" w:rsidP="00EB15C2">
            <w:pPr>
              <w:pStyle w:val="ListParagraph"/>
              <w:numPr>
                <w:ilvl w:val="0"/>
                <w:numId w:val="28"/>
              </w:numPr>
              <w:rPr>
                <w:rFonts w:cs="Arial"/>
                <w:bCs/>
                <w:sz w:val="22"/>
                <w:szCs w:val="22"/>
              </w:rPr>
            </w:pPr>
            <w:r w:rsidRPr="00A45B48">
              <w:rPr>
                <w:rFonts w:cs="Arial"/>
                <w:b/>
                <w:bCs/>
                <w:sz w:val="22"/>
                <w:szCs w:val="22"/>
              </w:rPr>
              <w:t>Specialist substance m</w:t>
            </w:r>
            <w:r w:rsidR="00320385" w:rsidRPr="00A45B48">
              <w:rPr>
                <w:rFonts w:cs="Arial"/>
                <w:b/>
                <w:bCs/>
                <w:sz w:val="22"/>
                <w:szCs w:val="22"/>
              </w:rPr>
              <w:t>isuse service</w:t>
            </w:r>
          </w:p>
          <w:p w14:paraId="461AD4BE" w14:textId="0F7EF645" w:rsidR="00320385" w:rsidRPr="00A45B48" w:rsidRDefault="00320385" w:rsidP="00EB15C2">
            <w:pPr>
              <w:pStyle w:val="ListParagraph"/>
              <w:numPr>
                <w:ilvl w:val="0"/>
                <w:numId w:val="28"/>
              </w:numPr>
              <w:rPr>
                <w:rFonts w:cs="Arial"/>
                <w:bCs/>
                <w:sz w:val="22"/>
                <w:szCs w:val="22"/>
              </w:rPr>
            </w:pPr>
            <w:r w:rsidRPr="00A45B48">
              <w:rPr>
                <w:rFonts w:cs="Arial"/>
                <w:b/>
                <w:bCs/>
                <w:sz w:val="22"/>
                <w:szCs w:val="22"/>
              </w:rPr>
              <w:t>Specialist GP providing shared care prescribing service</w:t>
            </w:r>
            <w:r w:rsidR="00452192" w:rsidRPr="00A45B48">
              <w:rPr>
                <w:rFonts w:cs="Arial"/>
                <w:b/>
                <w:bCs/>
                <w:sz w:val="22"/>
                <w:szCs w:val="22"/>
              </w:rPr>
              <w:t>.</w:t>
            </w:r>
            <w:r w:rsidRPr="00A45B48">
              <w:rPr>
                <w:rFonts w:cs="Arial"/>
                <w:bCs/>
                <w:sz w:val="22"/>
                <w:szCs w:val="22"/>
              </w:rPr>
              <w:t xml:space="preserve"> </w:t>
            </w:r>
          </w:p>
          <w:p w14:paraId="37C039BD" w14:textId="77777777" w:rsidR="006F79E2" w:rsidRPr="00A45B48" w:rsidRDefault="006F79E2" w:rsidP="00EB15C2">
            <w:pPr>
              <w:rPr>
                <w:rFonts w:cs="Arial"/>
                <w:b/>
                <w:bCs/>
                <w:color w:val="339966"/>
                <w:sz w:val="22"/>
                <w:szCs w:val="22"/>
              </w:rPr>
            </w:pPr>
          </w:p>
          <w:p w14:paraId="6473CC98" w14:textId="3FB1B825" w:rsidR="00E94A4D" w:rsidRPr="00A45B48" w:rsidRDefault="00310AB3" w:rsidP="00EB15C2">
            <w:pPr>
              <w:rPr>
                <w:rFonts w:eastAsia="MS ??" w:cs="Arial"/>
                <w:bCs/>
                <w:sz w:val="22"/>
                <w:szCs w:val="22"/>
              </w:rPr>
            </w:pPr>
            <w:r w:rsidRPr="00A45B48">
              <w:rPr>
                <w:rFonts w:cs="Arial"/>
                <w:b/>
                <w:bCs/>
                <w:color w:val="339966"/>
                <w:sz w:val="22"/>
                <w:szCs w:val="22"/>
              </w:rPr>
              <w:t>2</w:t>
            </w:r>
            <w:r w:rsidR="00E94A4D" w:rsidRPr="00A45B48">
              <w:rPr>
                <w:rFonts w:cs="Arial"/>
                <w:b/>
                <w:bCs/>
                <w:color w:val="339966"/>
                <w:sz w:val="22"/>
                <w:szCs w:val="22"/>
              </w:rPr>
              <w:t>.</w:t>
            </w:r>
            <w:r w:rsidR="002A63D5" w:rsidRPr="00A45B48">
              <w:rPr>
                <w:rFonts w:cs="Arial"/>
                <w:b/>
                <w:bCs/>
                <w:color w:val="339966"/>
                <w:sz w:val="22"/>
                <w:szCs w:val="22"/>
              </w:rPr>
              <w:t>7</w:t>
            </w:r>
            <w:r w:rsidR="00E94A4D" w:rsidRPr="00A45B48">
              <w:rPr>
                <w:rFonts w:cs="Arial"/>
                <w:b/>
                <w:bCs/>
                <w:color w:val="339966"/>
                <w:sz w:val="22"/>
                <w:szCs w:val="22"/>
              </w:rPr>
              <w:t xml:space="preserve"> Any activity planning assumptions</w:t>
            </w:r>
            <w:r w:rsidR="00E94A4D" w:rsidRPr="00A45B48">
              <w:rPr>
                <w:rFonts w:eastAsia="MS ??" w:cs="Arial"/>
                <w:bCs/>
                <w:sz w:val="22"/>
                <w:szCs w:val="22"/>
              </w:rPr>
              <w:t xml:space="preserve"> </w:t>
            </w:r>
          </w:p>
          <w:p w14:paraId="497CC141" w14:textId="77777777" w:rsidR="006E4F75" w:rsidRPr="00A45B48" w:rsidRDefault="006E4F75" w:rsidP="00EB15C2">
            <w:pPr>
              <w:rPr>
                <w:rFonts w:eastAsia="MS ??" w:cs="Arial"/>
                <w:bCs/>
                <w:sz w:val="22"/>
                <w:szCs w:val="22"/>
              </w:rPr>
            </w:pPr>
          </w:p>
          <w:p w14:paraId="4E690CBF" w14:textId="16CC7088" w:rsidR="00452192" w:rsidRPr="00A45B48" w:rsidRDefault="00452192" w:rsidP="00EB15C2">
            <w:pPr>
              <w:rPr>
                <w:rFonts w:eastAsia="MS ??" w:cs="Arial"/>
                <w:bCs/>
                <w:sz w:val="22"/>
                <w:szCs w:val="22"/>
              </w:rPr>
            </w:pPr>
            <w:r w:rsidRPr="00A45B48">
              <w:rPr>
                <w:rFonts w:eastAsia="MS ??" w:cs="Arial"/>
                <w:bCs/>
                <w:sz w:val="22"/>
                <w:szCs w:val="22"/>
              </w:rPr>
              <w:t xml:space="preserve">See. 1.2. </w:t>
            </w:r>
          </w:p>
          <w:p w14:paraId="520EB2E1" w14:textId="77777777" w:rsidR="00E94A4D" w:rsidRPr="00A45B48" w:rsidRDefault="00E94A4D" w:rsidP="00EB15C2">
            <w:pPr>
              <w:rPr>
                <w:rFonts w:cs="Arial"/>
                <w:bCs/>
                <w:sz w:val="22"/>
                <w:szCs w:val="22"/>
              </w:rPr>
            </w:pPr>
          </w:p>
        </w:tc>
      </w:tr>
      <w:tr w:rsidR="00E94A4D" w:rsidRPr="00A45B48" w14:paraId="4BF5973B"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shd w:val="clear" w:color="auto" w:fill="666666"/>
          </w:tcPr>
          <w:p w14:paraId="795F303F" w14:textId="77777777" w:rsidR="00E94A4D" w:rsidRPr="00A45B48" w:rsidRDefault="00E94A4D" w:rsidP="00EB15C2">
            <w:pPr>
              <w:pStyle w:val="BodyText"/>
              <w:jc w:val="both"/>
              <w:rPr>
                <w:color w:val="FFFFFF"/>
              </w:rPr>
            </w:pPr>
          </w:p>
          <w:p w14:paraId="53CACD9B" w14:textId="1B13C364" w:rsidR="00E94A4D" w:rsidRPr="00A45B48" w:rsidRDefault="00310AB3" w:rsidP="00EB15C2">
            <w:pPr>
              <w:pStyle w:val="BodyText"/>
              <w:jc w:val="both"/>
              <w:rPr>
                <w:color w:val="FFFF00"/>
              </w:rPr>
            </w:pPr>
            <w:r w:rsidRPr="00A45B48">
              <w:rPr>
                <w:color w:val="FFFF00"/>
              </w:rPr>
              <w:t>3</w:t>
            </w:r>
            <w:r w:rsidR="00E94A4D" w:rsidRPr="00A45B48">
              <w:rPr>
                <w:color w:val="FFFF00"/>
              </w:rPr>
              <w:t>. Applicable Service Standards</w:t>
            </w:r>
            <w:r w:rsidR="00E94A4D" w:rsidRPr="00A45B48" w:rsidDel="00090017">
              <w:rPr>
                <w:color w:val="FFFF00"/>
              </w:rPr>
              <w:t xml:space="preserve"> </w:t>
            </w:r>
            <w:r w:rsidR="00720415" w:rsidRPr="00A45B48">
              <w:rPr>
                <w:color w:val="FFFF00"/>
              </w:rPr>
              <w:t>&amp; Clinical Governance Requirements</w:t>
            </w:r>
          </w:p>
          <w:p w14:paraId="263EA2BB" w14:textId="77777777" w:rsidR="00E94A4D" w:rsidRPr="00A45B48" w:rsidRDefault="00E94A4D" w:rsidP="00EB15C2">
            <w:pPr>
              <w:pStyle w:val="BodyText"/>
              <w:jc w:val="both"/>
              <w:rPr>
                <w:color w:val="FFFFFF"/>
              </w:rPr>
            </w:pPr>
          </w:p>
        </w:tc>
      </w:tr>
      <w:tr w:rsidR="00B96904" w:rsidRPr="00A45B48" w14:paraId="43B278E5"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4"/>
        </w:trPr>
        <w:tc>
          <w:tcPr>
            <w:tcW w:w="9305" w:type="dxa"/>
            <w:gridSpan w:val="2"/>
            <w:tcBorders>
              <w:top w:val="single" w:sz="4" w:space="0" w:color="999999"/>
              <w:left w:val="single" w:sz="4" w:space="0" w:color="999999"/>
              <w:bottom w:val="single" w:sz="4" w:space="0" w:color="999999"/>
              <w:right w:val="single" w:sz="4" w:space="0" w:color="999999"/>
            </w:tcBorders>
          </w:tcPr>
          <w:p w14:paraId="27B78E39" w14:textId="77777777" w:rsidR="00B96904" w:rsidRPr="00A45B48" w:rsidRDefault="00B96904" w:rsidP="00167DF3">
            <w:pPr>
              <w:pStyle w:val="BodyText"/>
              <w:rPr>
                <w:bCs/>
                <w:color w:val="339966"/>
              </w:rPr>
            </w:pPr>
          </w:p>
          <w:p w14:paraId="47D7E7BD" w14:textId="77777777" w:rsidR="00B96904" w:rsidRPr="00A45B48" w:rsidRDefault="00B96904" w:rsidP="00167DF3">
            <w:pPr>
              <w:pStyle w:val="BodyText"/>
              <w:rPr>
                <w:bCs/>
                <w:color w:val="339966"/>
              </w:rPr>
            </w:pPr>
            <w:r w:rsidRPr="00A45B48">
              <w:rPr>
                <w:bCs/>
                <w:color w:val="339966"/>
              </w:rPr>
              <w:t xml:space="preserve">3.1 </w:t>
            </w:r>
            <w:r w:rsidRPr="00A45B48">
              <w:rPr>
                <w:rFonts w:eastAsia="Times New Roman"/>
                <w:bCs/>
                <w:color w:val="339966"/>
              </w:rPr>
              <w:t>Clinical Effectiveness &amp; Research-</w:t>
            </w:r>
            <w:r w:rsidRPr="00A45B48">
              <w:rPr>
                <w:bCs/>
                <w:color w:val="339966"/>
              </w:rPr>
              <w:t xml:space="preserve">Applicable national &amp; local standards e.g. </w:t>
            </w:r>
            <w:smartTag w:uri="urn:schemas-microsoft-com:office:smarttags" w:element="stockticker">
              <w:r w:rsidRPr="00A45B48">
                <w:rPr>
                  <w:bCs/>
                  <w:color w:val="339966"/>
                </w:rPr>
                <w:t>NICE</w:t>
              </w:r>
            </w:smartTag>
          </w:p>
          <w:p w14:paraId="37B7123A" w14:textId="16EC8F19" w:rsidR="00F0133A" w:rsidRPr="00A45B48" w:rsidRDefault="00F0133A" w:rsidP="00167DF3">
            <w:pPr>
              <w:autoSpaceDE w:val="0"/>
              <w:autoSpaceDN w:val="0"/>
              <w:adjustRightInd w:val="0"/>
              <w:jc w:val="left"/>
              <w:rPr>
                <w:rFonts w:cs="Arial"/>
                <w:sz w:val="22"/>
                <w:szCs w:val="22"/>
              </w:rPr>
            </w:pPr>
            <w:r w:rsidRPr="00A45B48">
              <w:rPr>
                <w:rFonts w:cs="Arial"/>
                <w:sz w:val="22"/>
                <w:szCs w:val="22"/>
              </w:rPr>
              <w:t>The Provider will comply with all relevant guidance, regulations and statutory circulars in so far as they are applicable to the services provided. Particular consideration should be given to reviewing and implementing any relevant elements of the following guidance documents:</w:t>
            </w:r>
          </w:p>
          <w:p w14:paraId="054301A8" w14:textId="3235A474" w:rsidR="00F0133A" w:rsidRPr="00A45B48" w:rsidRDefault="00317F15" w:rsidP="00167DF3">
            <w:pPr>
              <w:pStyle w:val="ListParagraph"/>
              <w:numPr>
                <w:ilvl w:val="0"/>
                <w:numId w:val="25"/>
              </w:numPr>
              <w:suppressAutoHyphens w:val="0"/>
              <w:ind w:left="714" w:right="204" w:hanging="357"/>
              <w:jc w:val="left"/>
              <w:rPr>
                <w:rFonts w:cs="Arial"/>
                <w:sz w:val="22"/>
                <w:szCs w:val="22"/>
              </w:rPr>
            </w:pPr>
            <w:r w:rsidRPr="00A45B48">
              <w:rPr>
                <w:rFonts w:cs="Arial"/>
                <w:sz w:val="22"/>
                <w:szCs w:val="22"/>
              </w:rPr>
              <w:t xml:space="preserve">DHSC (2017) </w:t>
            </w:r>
            <w:r w:rsidR="00F0133A" w:rsidRPr="00A45B48">
              <w:rPr>
                <w:rFonts w:cs="Arial"/>
                <w:sz w:val="22"/>
                <w:szCs w:val="22"/>
              </w:rPr>
              <w:t>Drug Misuse and Dependence - Guidelines on Clinical Management</w:t>
            </w:r>
            <w:r w:rsidRPr="00A45B48">
              <w:rPr>
                <w:rFonts w:cs="Arial"/>
                <w:sz w:val="22"/>
                <w:szCs w:val="22"/>
              </w:rPr>
              <w:t xml:space="preserve">. Online: </w:t>
            </w:r>
            <w:hyperlink r:id="rId14" w:history="1">
              <w:r w:rsidR="002A758C" w:rsidRPr="00A45B48">
                <w:rPr>
                  <w:rStyle w:val="Hyperlink"/>
                  <w:rFonts w:cs="Arial"/>
                  <w:sz w:val="22"/>
                  <w:szCs w:val="22"/>
                </w:rPr>
                <w:t>www.gov.uk/government/publications/drug-misuse-and-dependence-uk-guidelines-on-clinical-management</w:t>
              </w:r>
            </w:hyperlink>
            <w:r w:rsidR="002A758C" w:rsidRPr="00A45B48">
              <w:rPr>
                <w:rFonts w:cs="Arial"/>
                <w:sz w:val="22"/>
                <w:szCs w:val="22"/>
              </w:rPr>
              <w:t xml:space="preserve"> </w:t>
            </w:r>
            <w:r w:rsidR="00F0133A" w:rsidRPr="00A45B48">
              <w:rPr>
                <w:rFonts w:cs="Arial"/>
                <w:sz w:val="22"/>
                <w:szCs w:val="22"/>
              </w:rPr>
              <w:t xml:space="preserve"> </w:t>
            </w:r>
          </w:p>
          <w:p w14:paraId="76A3418D" w14:textId="53582926" w:rsidR="00F0133A" w:rsidRPr="00A45B48" w:rsidRDefault="009A0566" w:rsidP="00167DF3">
            <w:pPr>
              <w:pStyle w:val="ListParagraph"/>
              <w:numPr>
                <w:ilvl w:val="0"/>
                <w:numId w:val="25"/>
              </w:numPr>
              <w:suppressAutoHyphens w:val="0"/>
              <w:ind w:left="714" w:right="204" w:hanging="357"/>
              <w:jc w:val="left"/>
              <w:rPr>
                <w:rFonts w:cs="Arial"/>
                <w:sz w:val="22"/>
                <w:szCs w:val="22"/>
              </w:rPr>
            </w:pPr>
            <w:r>
              <w:t>NICE (</w:t>
            </w:r>
            <w:r w:rsidR="00591EAA">
              <w:t>2007</w:t>
            </w:r>
            <w:r>
              <w:t>)</w:t>
            </w:r>
            <w:r w:rsidR="00591EAA">
              <w:t xml:space="preserve"> </w:t>
            </w:r>
            <w:r w:rsidR="000A6480" w:rsidRPr="00591EAA">
              <w:rPr>
                <w:rFonts w:cs="Arial"/>
                <w:sz w:val="22"/>
                <w:szCs w:val="22"/>
              </w:rPr>
              <w:t>Methadone and buprenorphine for the management of opioid dependence</w:t>
            </w:r>
            <w:r w:rsidR="00591EAA" w:rsidRPr="00591EAA">
              <w:rPr>
                <w:rFonts w:cs="Arial"/>
                <w:sz w:val="22"/>
                <w:szCs w:val="22"/>
              </w:rPr>
              <w:t xml:space="preserve"> TA114</w:t>
            </w:r>
            <w:r w:rsidR="000A6480" w:rsidRPr="00A45B48">
              <w:rPr>
                <w:rFonts w:cs="Arial"/>
                <w:sz w:val="22"/>
                <w:szCs w:val="22"/>
              </w:rPr>
              <w:t>.</w:t>
            </w:r>
            <w:r w:rsidR="00591EAA">
              <w:rPr>
                <w:rFonts w:cs="Arial"/>
                <w:sz w:val="22"/>
                <w:szCs w:val="22"/>
              </w:rPr>
              <w:t xml:space="preserve"> Online: </w:t>
            </w:r>
            <w:hyperlink r:id="rId15" w:history="1">
              <w:r w:rsidR="00F664B5" w:rsidRPr="00381085">
                <w:rPr>
                  <w:rStyle w:val="Hyperlink"/>
                  <w:rFonts w:cs="Arial"/>
                  <w:sz w:val="22"/>
                  <w:szCs w:val="22"/>
                </w:rPr>
                <w:t>www.nice.org.uk/Guidance/TA114</w:t>
              </w:r>
            </w:hyperlink>
            <w:r w:rsidR="00A10D8A">
              <w:rPr>
                <w:rFonts w:cs="Arial"/>
                <w:sz w:val="22"/>
                <w:szCs w:val="22"/>
              </w:rPr>
              <w:t xml:space="preserve"> </w:t>
            </w:r>
          </w:p>
          <w:p w14:paraId="5A3CDB4F" w14:textId="66C14960" w:rsidR="00EB1202" w:rsidRPr="00A45B48" w:rsidRDefault="004F7C58" w:rsidP="00167DF3">
            <w:pPr>
              <w:pStyle w:val="ListParagraph"/>
              <w:numPr>
                <w:ilvl w:val="0"/>
                <w:numId w:val="25"/>
              </w:numPr>
              <w:suppressAutoHyphens w:val="0"/>
              <w:ind w:left="714" w:right="204" w:hanging="357"/>
              <w:jc w:val="left"/>
              <w:rPr>
                <w:rFonts w:cs="Arial"/>
                <w:sz w:val="22"/>
                <w:szCs w:val="22"/>
              </w:rPr>
            </w:pPr>
            <w:r w:rsidRPr="00A45B48">
              <w:rPr>
                <w:rFonts w:cs="Arial"/>
                <w:sz w:val="22"/>
                <w:szCs w:val="22"/>
              </w:rPr>
              <w:t xml:space="preserve">OHID (2024) Community pharmacy: delivering substance misuse services. Online: </w:t>
            </w:r>
            <w:hyperlink r:id="rId16" w:history="1">
              <w:r w:rsidR="002A758C" w:rsidRPr="00A45B48">
                <w:rPr>
                  <w:rStyle w:val="Hyperlink"/>
                  <w:rFonts w:cs="Arial"/>
                  <w:sz w:val="22"/>
                  <w:szCs w:val="22"/>
                </w:rPr>
                <w:t>www.gov.uk/government/publications/community-pharmacy-delivering-substance-misuse-services/community-pharmacy-delivering-substance-misuse-services</w:t>
              </w:r>
            </w:hyperlink>
            <w:r w:rsidR="00EB1202" w:rsidRPr="00A45B48">
              <w:rPr>
                <w:rFonts w:cs="Arial"/>
                <w:sz w:val="22"/>
                <w:szCs w:val="22"/>
              </w:rPr>
              <w:t xml:space="preserve"> </w:t>
            </w:r>
          </w:p>
          <w:p w14:paraId="7694673D" w14:textId="77777777" w:rsidR="00F0133A" w:rsidRPr="00A45B48" w:rsidRDefault="00F0133A" w:rsidP="00167DF3">
            <w:pPr>
              <w:pStyle w:val="BodyText"/>
              <w:ind w:left="720"/>
              <w:rPr>
                <w:bCs/>
              </w:rPr>
            </w:pPr>
          </w:p>
          <w:p w14:paraId="34579083" w14:textId="39F9CDD3" w:rsidR="00F0133A" w:rsidRPr="00A45B48" w:rsidRDefault="00F0133A" w:rsidP="00167DF3">
            <w:pPr>
              <w:ind w:right="206"/>
              <w:jc w:val="left"/>
              <w:rPr>
                <w:rFonts w:cs="Arial"/>
                <w:sz w:val="22"/>
                <w:szCs w:val="22"/>
              </w:rPr>
            </w:pPr>
            <w:r w:rsidRPr="00A45B48">
              <w:rPr>
                <w:rFonts w:cs="Arial"/>
                <w:sz w:val="22"/>
                <w:szCs w:val="22"/>
                <w:u w:val="single"/>
              </w:rPr>
              <w:t>CPPE Training which may support this service</w:t>
            </w:r>
            <w:r w:rsidRPr="00A45B48">
              <w:rPr>
                <w:rFonts w:cs="Arial"/>
                <w:sz w:val="22"/>
                <w:szCs w:val="22"/>
              </w:rPr>
              <w:t>:</w:t>
            </w:r>
          </w:p>
          <w:p w14:paraId="2EDCA068" w14:textId="25CED4B6" w:rsidR="00B9365F" w:rsidRPr="00A45B48" w:rsidRDefault="00F0133A" w:rsidP="00167DF3">
            <w:pPr>
              <w:pStyle w:val="BodyText"/>
              <w:rPr>
                <w:rFonts w:eastAsia="Times New Roman"/>
                <w:color w:val="000000" w:themeColor="text1"/>
              </w:rPr>
            </w:pPr>
            <w:r w:rsidRPr="79EA2E33">
              <w:rPr>
                <w:rFonts w:eastAsia="Times New Roman"/>
                <w:color w:val="000000" w:themeColor="text1"/>
              </w:rPr>
              <w:t>The Centre for Pharmacy Postgraduate Education (CPPE) produce an open learning pack</w:t>
            </w:r>
            <w:r w:rsidR="4EFF65AB" w:rsidRPr="79EA2E33">
              <w:rPr>
                <w:rFonts w:eastAsia="Times New Roman"/>
                <w:color w:val="000000" w:themeColor="text1"/>
              </w:rPr>
              <w:t xml:space="preserve"> </w:t>
            </w:r>
            <w:hyperlink r:id="rId17">
              <w:r w:rsidR="4EFF65AB" w:rsidRPr="79EA2E33">
                <w:rPr>
                  <w:rStyle w:val="Hyperlink"/>
                  <w:rFonts w:ascii="Aptos" w:eastAsia="Aptos" w:hAnsi="Aptos" w:cs="Aptos"/>
                  <w:color w:val="467886"/>
                  <w:sz w:val="24"/>
                  <w:szCs w:val="24"/>
                </w:rPr>
                <w:t>https://www.cppe.ac.uk/programmes/l/substance-e-02/</w:t>
              </w:r>
            </w:hyperlink>
            <w:r w:rsidRPr="79EA2E33">
              <w:rPr>
                <w:rFonts w:eastAsia="Times New Roman"/>
                <w:color w:val="000000" w:themeColor="text1"/>
              </w:rPr>
              <w:t xml:space="preserve"> </w:t>
            </w:r>
            <w:hyperlink r:id="rId18">
              <w:r w:rsidRPr="79EA2E33">
                <w:rPr>
                  <w:rStyle w:val="Hyperlink"/>
                  <w:rFonts w:eastAsia="Times New Roman"/>
                </w:rPr>
                <w:t>’</w:t>
              </w:r>
            </w:hyperlink>
            <w:r w:rsidRPr="79EA2E33">
              <w:rPr>
                <w:rFonts w:eastAsia="Times New Roman"/>
                <w:color w:val="000000" w:themeColor="text1"/>
              </w:rPr>
              <w:t xml:space="preserve"> which provides the necessary knowledge to underpin the provision of this service. There is a pharmacist and technician version of this module available from CPPE.  It is highly recommended (and supported by Best Practice Guidance) that this should be completed before providing the service or in the case of new pharmacists within 3 months including locum pharmacists</w:t>
            </w:r>
            <w:r w:rsidR="000A6A4C" w:rsidRPr="79EA2E33">
              <w:rPr>
                <w:rFonts w:eastAsia="Times New Roman"/>
                <w:color w:val="000000" w:themeColor="text1"/>
              </w:rPr>
              <w:t>.</w:t>
            </w:r>
          </w:p>
          <w:p w14:paraId="2A416387" w14:textId="77777777" w:rsidR="00B9365F" w:rsidRPr="00A45B48" w:rsidRDefault="00B9365F" w:rsidP="00167DF3">
            <w:pPr>
              <w:pStyle w:val="BodyText"/>
              <w:rPr>
                <w:color w:val="0B0C0C"/>
              </w:rPr>
            </w:pPr>
          </w:p>
          <w:p w14:paraId="7B2B5DE5" w14:textId="3253C1DE" w:rsidR="00B9365F" w:rsidRPr="00A45B48" w:rsidRDefault="00B9365F" w:rsidP="00167DF3">
            <w:pPr>
              <w:pStyle w:val="BodyText"/>
              <w:rPr>
                <w:rFonts w:eastAsia="Times New Roman"/>
                <w:color w:val="000000" w:themeColor="text1"/>
              </w:rPr>
            </w:pPr>
            <w:r w:rsidRPr="00A45B48">
              <w:rPr>
                <w:color w:val="0B0C0C"/>
              </w:rPr>
              <w:t>Further educational opportunities are available through:</w:t>
            </w:r>
          </w:p>
          <w:p w14:paraId="49BE197F" w14:textId="77777777" w:rsidR="00B9365F" w:rsidRPr="00A45B48" w:rsidRDefault="00B9365F" w:rsidP="00167DF3">
            <w:pPr>
              <w:numPr>
                <w:ilvl w:val="0"/>
                <w:numId w:val="30"/>
              </w:numPr>
              <w:shd w:val="clear" w:color="auto" w:fill="FFFFFF"/>
              <w:suppressAutoHyphens w:val="0"/>
              <w:spacing w:after="75"/>
              <w:ind w:left="1020"/>
              <w:jc w:val="left"/>
              <w:rPr>
                <w:rFonts w:cs="Arial"/>
                <w:color w:val="0B0C0C"/>
                <w:sz w:val="22"/>
                <w:szCs w:val="22"/>
              </w:rPr>
            </w:pPr>
            <w:hyperlink r:id="rId19" w:history="1">
              <w:r w:rsidRPr="00A45B48">
                <w:rPr>
                  <w:rStyle w:val="Hyperlink"/>
                  <w:rFonts w:cs="Arial"/>
                  <w:color w:val="1D70B8"/>
                  <w:sz w:val="22"/>
                  <w:szCs w:val="22"/>
                </w:rPr>
                <w:t>Association of Pharmacy Technicians UK</w:t>
              </w:r>
            </w:hyperlink>
          </w:p>
          <w:p w14:paraId="1CE4E7FE" w14:textId="77777777" w:rsidR="00B9365F" w:rsidRPr="00A45B48" w:rsidRDefault="00B9365F" w:rsidP="00167DF3">
            <w:pPr>
              <w:numPr>
                <w:ilvl w:val="0"/>
                <w:numId w:val="30"/>
              </w:numPr>
              <w:shd w:val="clear" w:color="auto" w:fill="FFFFFF"/>
              <w:suppressAutoHyphens w:val="0"/>
              <w:spacing w:after="75"/>
              <w:ind w:left="1020"/>
              <w:jc w:val="left"/>
              <w:rPr>
                <w:rFonts w:cs="Arial"/>
                <w:color w:val="0B0C0C"/>
                <w:sz w:val="22"/>
                <w:szCs w:val="22"/>
              </w:rPr>
            </w:pPr>
            <w:hyperlink r:id="rId20" w:history="1">
              <w:r w:rsidRPr="00A45B48">
                <w:rPr>
                  <w:rStyle w:val="Hyperlink"/>
                  <w:rFonts w:cs="Arial"/>
                  <w:color w:val="1D70B8"/>
                  <w:sz w:val="22"/>
                  <w:szCs w:val="22"/>
                </w:rPr>
                <w:t>College of Mental Health Pharmacy</w:t>
              </w:r>
            </w:hyperlink>
          </w:p>
          <w:p w14:paraId="14A4C05C" w14:textId="77777777" w:rsidR="00B9365F" w:rsidRPr="00A45B48" w:rsidRDefault="00B9365F" w:rsidP="00167DF3">
            <w:pPr>
              <w:numPr>
                <w:ilvl w:val="0"/>
                <w:numId w:val="30"/>
              </w:numPr>
              <w:shd w:val="clear" w:color="auto" w:fill="FFFFFF"/>
              <w:suppressAutoHyphens w:val="0"/>
              <w:spacing w:after="75"/>
              <w:ind w:left="1020"/>
              <w:jc w:val="left"/>
              <w:rPr>
                <w:rFonts w:cs="Arial"/>
                <w:color w:val="0B0C0C"/>
                <w:sz w:val="22"/>
                <w:szCs w:val="22"/>
              </w:rPr>
            </w:pPr>
            <w:hyperlink r:id="rId21" w:history="1">
              <w:r w:rsidRPr="00A45B48">
                <w:rPr>
                  <w:rStyle w:val="Hyperlink"/>
                  <w:rFonts w:cs="Arial"/>
                  <w:color w:val="1D70B8"/>
                  <w:sz w:val="22"/>
                  <w:szCs w:val="22"/>
                </w:rPr>
                <w:t>Royal Pharmaceutical Society</w:t>
              </w:r>
            </w:hyperlink>
          </w:p>
          <w:p w14:paraId="4EB3DD71" w14:textId="77777777" w:rsidR="00B96904" w:rsidRPr="00A45B48" w:rsidRDefault="00B96904" w:rsidP="00167DF3">
            <w:pPr>
              <w:pStyle w:val="BodyText"/>
              <w:rPr>
                <w:bCs/>
                <w:color w:val="339966"/>
              </w:rPr>
            </w:pPr>
          </w:p>
          <w:p w14:paraId="65430560" w14:textId="77777777" w:rsidR="00B96904" w:rsidRPr="00A45B48" w:rsidRDefault="00B96904" w:rsidP="00167DF3">
            <w:pPr>
              <w:pStyle w:val="BodyText"/>
              <w:rPr>
                <w:bCs/>
                <w:color w:val="339966"/>
              </w:rPr>
            </w:pPr>
            <w:r w:rsidRPr="00A45B48">
              <w:rPr>
                <w:bCs/>
                <w:color w:val="339966"/>
              </w:rPr>
              <w:t>3.2 Audit</w:t>
            </w:r>
          </w:p>
          <w:p w14:paraId="57321F19" w14:textId="578D0C4B" w:rsidR="00B96904" w:rsidRPr="00A45B48" w:rsidRDefault="00B96904" w:rsidP="00167DF3">
            <w:pPr>
              <w:numPr>
                <w:ilvl w:val="0"/>
                <w:numId w:val="19"/>
              </w:numPr>
              <w:suppressAutoHyphens w:val="0"/>
              <w:ind w:right="206"/>
              <w:jc w:val="left"/>
              <w:rPr>
                <w:rFonts w:eastAsia="MS ??" w:cs="Arial"/>
                <w:bCs/>
                <w:sz w:val="22"/>
                <w:szCs w:val="22"/>
              </w:rPr>
            </w:pPr>
            <w:r w:rsidRPr="00A45B48">
              <w:rPr>
                <w:rFonts w:eastAsia="MS ??" w:cs="Arial"/>
                <w:bCs/>
                <w:sz w:val="22"/>
                <w:szCs w:val="22"/>
              </w:rPr>
              <w:t xml:space="preserve">Providers will take part in the </w:t>
            </w:r>
            <w:r w:rsidRPr="00A45B48">
              <w:rPr>
                <w:rFonts w:eastAsia="MS ??" w:cs="Arial"/>
                <w:bCs/>
                <w:sz w:val="22"/>
                <w:szCs w:val="22"/>
                <w:lang w:val="en"/>
              </w:rPr>
              <w:t>General Pharmaceutical Council (</w:t>
            </w:r>
            <w:r w:rsidRPr="00A45B48">
              <w:rPr>
                <w:rFonts w:eastAsia="MS ??" w:cs="Arial"/>
                <w:bCs/>
                <w:sz w:val="22"/>
                <w:szCs w:val="22"/>
              </w:rPr>
              <w:t>G</w:t>
            </w:r>
            <w:r w:rsidR="00EE1890" w:rsidRPr="00A45B48">
              <w:rPr>
                <w:rFonts w:eastAsia="MS ??" w:cs="Arial"/>
                <w:bCs/>
                <w:sz w:val="22"/>
                <w:szCs w:val="22"/>
              </w:rPr>
              <w:t>P</w:t>
            </w:r>
            <w:r w:rsidRPr="00A45B48">
              <w:rPr>
                <w:rFonts w:eastAsia="MS ??" w:cs="Arial"/>
                <w:bCs/>
                <w:sz w:val="22"/>
                <w:szCs w:val="22"/>
              </w:rPr>
              <w:t>hC) annual national audit programme</w:t>
            </w:r>
            <w:r w:rsidR="00CF54BE" w:rsidRPr="00A45B48">
              <w:rPr>
                <w:rFonts w:eastAsia="MS ??" w:cs="Arial"/>
                <w:bCs/>
                <w:sz w:val="22"/>
                <w:szCs w:val="22"/>
              </w:rPr>
              <w:t>.</w:t>
            </w:r>
          </w:p>
          <w:p w14:paraId="38DFD926" w14:textId="591D7B2D" w:rsidR="00B96904" w:rsidRPr="00A45B48" w:rsidRDefault="00B96904" w:rsidP="00167DF3">
            <w:pPr>
              <w:numPr>
                <w:ilvl w:val="0"/>
                <w:numId w:val="19"/>
              </w:numPr>
              <w:suppressAutoHyphens w:val="0"/>
              <w:ind w:right="206"/>
              <w:jc w:val="left"/>
              <w:rPr>
                <w:rFonts w:eastAsia="MS ??" w:cs="Arial"/>
                <w:bCs/>
                <w:sz w:val="22"/>
                <w:szCs w:val="22"/>
              </w:rPr>
            </w:pPr>
            <w:bookmarkStart w:id="0" w:name="_Hlk17201370"/>
            <w:r w:rsidRPr="00A45B48">
              <w:rPr>
                <w:rFonts w:eastAsia="MS ??" w:cs="Arial"/>
                <w:bCs/>
                <w:sz w:val="22"/>
                <w:szCs w:val="22"/>
              </w:rPr>
              <w:t>Providers will complete the NHSE-I annual Community Pharmacy Assessment Framework (CPAF) screening questionnaire</w:t>
            </w:r>
            <w:r w:rsidR="00CF54BE" w:rsidRPr="00A45B48">
              <w:rPr>
                <w:rFonts w:eastAsia="MS ??" w:cs="Arial"/>
                <w:bCs/>
                <w:sz w:val="22"/>
                <w:szCs w:val="22"/>
              </w:rPr>
              <w:t>.</w:t>
            </w:r>
          </w:p>
          <w:p w14:paraId="5D09D356" w14:textId="168A1DAA" w:rsidR="00CF54BE" w:rsidRPr="00A45B48" w:rsidRDefault="00CF54BE" w:rsidP="00167DF3">
            <w:pPr>
              <w:numPr>
                <w:ilvl w:val="0"/>
                <w:numId w:val="19"/>
              </w:numPr>
              <w:suppressAutoHyphens w:val="0"/>
              <w:ind w:right="206"/>
              <w:jc w:val="left"/>
              <w:rPr>
                <w:rFonts w:eastAsia="MS ??" w:cs="Arial"/>
                <w:bCs/>
                <w:sz w:val="22"/>
                <w:szCs w:val="22"/>
              </w:rPr>
            </w:pPr>
            <w:r w:rsidRPr="00A45B48">
              <w:rPr>
                <w:rFonts w:eastAsia="MS ??" w:cs="Arial"/>
                <w:bCs/>
                <w:sz w:val="22"/>
                <w:szCs w:val="22"/>
              </w:rPr>
              <w:t xml:space="preserve">Providers will participate in Local Authority led audit </w:t>
            </w:r>
            <w:r w:rsidR="00910A82" w:rsidRPr="00A45B48">
              <w:rPr>
                <w:rFonts w:eastAsia="MS ??" w:cs="Arial"/>
                <w:bCs/>
                <w:sz w:val="22"/>
                <w:szCs w:val="22"/>
              </w:rPr>
              <w:t xml:space="preserve">and review </w:t>
            </w:r>
            <w:r w:rsidRPr="00A45B48">
              <w:rPr>
                <w:rFonts w:eastAsia="MS ??" w:cs="Arial"/>
                <w:bCs/>
                <w:sz w:val="22"/>
                <w:szCs w:val="22"/>
              </w:rPr>
              <w:t xml:space="preserve">activity. </w:t>
            </w:r>
          </w:p>
          <w:bookmarkEnd w:id="0"/>
          <w:p w14:paraId="7E9A6330" w14:textId="77777777" w:rsidR="00B96904" w:rsidRPr="00A45B48" w:rsidRDefault="00B96904" w:rsidP="00167DF3">
            <w:pPr>
              <w:suppressAutoHyphens w:val="0"/>
              <w:ind w:left="720" w:right="206"/>
              <w:jc w:val="left"/>
              <w:rPr>
                <w:rFonts w:cs="Arial"/>
                <w:bCs/>
                <w:sz w:val="22"/>
                <w:szCs w:val="22"/>
              </w:rPr>
            </w:pPr>
          </w:p>
          <w:p w14:paraId="03DC2738" w14:textId="77777777" w:rsidR="00B96904" w:rsidRPr="00A45B48" w:rsidRDefault="00B96904" w:rsidP="00167DF3">
            <w:pPr>
              <w:pStyle w:val="BodyText"/>
              <w:rPr>
                <w:bCs/>
                <w:color w:val="339966"/>
              </w:rPr>
            </w:pPr>
            <w:r w:rsidRPr="00A45B48">
              <w:rPr>
                <w:bCs/>
                <w:color w:val="339966"/>
              </w:rPr>
              <w:t xml:space="preserve">3.3 Risk Management </w:t>
            </w:r>
          </w:p>
          <w:p w14:paraId="2FD94FB5" w14:textId="6DA4146B" w:rsidR="00B96904" w:rsidRPr="00A45B48" w:rsidRDefault="00B96904" w:rsidP="00167DF3">
            <w:pPr>
              <w:pStyle w:val="BodyText"/>
              <w:numPr>
                <w:ilvl w:val="0"/>
                <w:numId w:val="19"/>
              </w:numPr>
              <w:rPr>
                <w:rFonts w:eastAsia="Times New Roman"/>
                <w:bCs/>
              </w:rPr>
            </w:pPr>
            <w:r w:rsidRPr="00A45B48">
              <w:rPr>
                <w:rFonts w:eastAsia="Times New Roman"/>
                <w:bCs/>
              </w:rPr>
              <w:t xml:space="preserve">Providers must comply with latest Infection Prevention Control </w:t>
            </w:r>
            <w:r w:rsidR="00D44787" w:rsidRPr="00A45B48">
              <w:rPr>
                <w:rFonts w:eastAsia="Times New Roman"/>
                <w:bCs/>
              </w:rPr>
              <w:t xml:space="preserve">(IPC) </w:t>
            </w:r>
            <w:r w:rsidRPr="00A45B48">
              <w:rPr>
                <w:rFonts w:eastAsia="Times New Roman"/>
                <w:bCs/>
              </w:rPr>
              <w:t xml:space="preserve">Guidance </w:t>
            </w:r>
          </w:p>
          <w:p w14:paraId="7E1834BB" w14:textId="77777777" w:rsidR="005D44C5" w:rsidRPr="00A45B48" w:rsidRDefault="00B96904" w:rsidP="00167DF3">
            <w:pPr>
              <w:pStyle w:val="BodyText"/>
              <w:numPr>
                <w:ilvl w:val="0"/>
                <w:numId w:val="19"/>
              </w:numPr>
              <w:rPr>
                <w:rFonts w:eastAsia="Times New Roman"/>
                <w:bCs/>
              </w:rPr>
            </w:pPr>
            <w:r w:rsidRPr="00A45B48">
              <w:rPr>
                <w:rFonts w:eastAsia="Times New Roman"/>
                <w:bCs/>
              </w:rPr>
              <w:t>Any serious incidents need to be reported in accordance with the providers local incident reporting policy and NHSE reporting requirements</w:t>
            </w:r>
            <w:r w:rsidR="005D44C5" w:rsidRPr="00A45B48">
              <w:rPr>
                <w:rFonts w:eastAsia="Times New Roman"/>
                <w:bCs/>
              </w:rPr>
              <w:t xml:space="preserve">: </w:t>
            </w:r>
            <w:hyperlink r:id="rId22" w:history="1">
              <w:r w:rsidR="005D44C5" w:rsidRPr="00A45B48">
                <w:rPr>
                  <w:rStyle w:val="Hyperlink"/>
                  <w:rFonts w:eastAsia="Times New Roman"/>
                  <w:bCs/>
                </w:rPr>
                <w:t>www.england.nhs.uk/patient-safety/patient-safety-insight/learning-from-patient-safety-events/</w:t>
              </w:r>
            </w:hyperlink>
            <w:r w:rsidR="005D44C5" w:rsidRPr="00A45B48">
              <w:rPr>
                <w:rFonts w:eastAsia="Times New Roman"/>
                <w:bCs/>
              </w:rPr>
              <w:t xml:space="preserve"> </w:t>
            </w:r>
            <w:r w:rsidRPr="00A45B48">
              <w:rPr>
                <w:rFonts w:eastAsia="Times New Roman"/>
                <w:bCs/>
              </w:rPr>
              <w:t xml:space="preserve"> as applicable and notified to the commissioner within one week</w:t>
            </w:r>
            <w:r w:rsidR="00402B33" w:rsidRPr="00A45B48">
              <w:rPr>
                <w:rFonts w:eastAsia="Times New Roman"/>
                <w:bCs/>
              </w:rPr>
              <w:t>.</w:t>
            </w:r>
            <w:r w:rsidRPr="00A45B48">
              <w:rPr>
                <w:rFonts w:eastAsia="Times New Roman"/>
                <w:bCs/>
              </w:rPr>
              <w:t xml:space="preserve"> </w:t>
            </w:r>
          </w:p>
          <w:p w14:paraId="3ED3ADB8" w14:textId="4F9F35CA" w:rsidR="00B96904" w:rsidRPr="00A45B48" w:rsidRDefault="00B96904" w:rsidP="00167DF3">
            <w:pPr>
              <w:pStyle w:val="BodyText"/>
              <w:numPr>
                <w:ilvl w:val="0"/>
                <w:numId w:val="19"/>
              </w:numPr>
              <w:rPr>
                <w:rFonts w:eastAsia="Times New Roman"/>
                <w:bCs/>
              </w:rPr>
            </w:pPr>
            <w:r w:rsidRPr="00A45B48">
              <w:rPr>
                <w:rFonts w:eastAsia="Times New Roman"/>
                <w:bCs/>
              </w:rPr>
              <w:t>The provider should provide assurance of actions taken and sharing the Lessons Learned.</w:t>
            </w:r>
          </w:p>
          <w:p w14:paraId="59BC32F3" w14:textId="29DF5EF3" w:rsidR="00B96904" w:rsidRPr="00A45B48" w:rsidRDefault="00B96904" w:rsidP="00167DF3">
            <w:pPr>
              <w:pStyle w:val="BodyText"/>
              <w:numPr>
                <w:ilvl w:val="0"/>
                <w:numId w:val="19"/>
              </w:numPr>
              <w:rPr>
                <w:bCs/>
              </w:rPr>
            </w:pPr>
            <w:r w:rsidRPr="00A45B48">
              <w:rPr>
                <w:bCs/>
              </w:rPr>
              <w:t>Pharmacists should read, understand</w:t>
            </w:r>
            <w:r w:rsidR="005D44C5" w:rsidRPr="00A45B48">
              <w:rPr>
                <w:bCs/>
              </w:rPr>
              <w:t>,</w:t>
            </w:r>
            <w:r w:rsidRPr="00A45B48">
              <w:rPr>
                <w:bCs/>
              </w:rPr>
              <w:t xml:space="preserve"> and sign the latest </w:t>
            </w:r>
            <w:r w:rsidR="00402B33" w:rsidRPr="00A45B48">
              <w:rPr>
                <w:bCs/>
              </w:rPr>
              <w:t>local PGD’s</w:t>
            </w:r>
            <w:r w:rsidRPr="00A45B48">
              <w:rPr>
                <w:bCs/>
              </w:rPr>
              <w:t xml:space="preserve"> (available on the ALPC website). The signed PGDs should be retained and made available for reference in each pharmacy.</w:t>
            </w:r>
          </w:p>
          <w:p w14:paraId="23FB7C94" w14:textId="77777777" w:rsidR="00B96904" w:rsidRPr="00A45B48" w:rsidRDefault="00B96904" w:rsidP="00167DF3">
            <w:pPr>
              <w:pStyle w:val="BodyText"/>
              <w:ind w:left="720"/>
              <w:rPr>
                <w:bCs/>
              </w:rPr>
            </w:pPr>
          </w:p>
          <w:p w14:paraId="01E70D9D" w14:textId="77777777" w:rsidR="00B96904" w:rsidRPr="00A45B48" w:rsidRDefault="00B96904" w:rsidP="00167DF3">
            <w:pPr>
              <w:pStyle w:val="BodyText"/>
              <w:rPr>
                <w:bCs/>
                <w:color w:val="339966"/>
              </w:rPr>
            </w:pPr>
            <w:r w:rsidRPr="00A45B48">
              <w:rPr>
                <w:bCs/>
                <w:color w:val="339966"/>
              </w:rPr>
              <w:t>3.4 Education and Training</w:t>
            </w:r>
          </w:p>
          <w:p w14:paraId="1801FD54" w14:textId="77777777" w:rsidR="00B96904" w:rsidRPr="00A45B48" w:rsidRDefault="00B96904" w:rsidP="00167DF3">
            <w:pPr>
              <w:pStyle w:val="BodyText"/>
              <w:numPr>
                <w:ilvl w:val="0"/>
                <w:numId w:val="19"/>
              </w:numPr>
            </w:pPr>
            <w:r w:rsidRPr="00A45B48">
              <w:t xml:space="preserve">Pharmacists participating in this service specification must have declared themselves competent to do so and provide the evidence using the Declaration of Competence system on Pharm Outcomes. Relevant support and guidance will be provided by the Avon Local pharmaceutical Committee (ALPC).  </w:t>
            </w:r>
          </w:p>
          <w:p w14:paraId="1F604953" w14:textId="77777777" w:rsidR="00B96904" w:rsidRPr="00A45B48" w:rsidRDefault="00B96904" w:rsidP="00167DF3">
            <w:pPr>
              <w:pStyle w:val="BodyText"/>
              <w:numPr>
                <w:ilvl w:val="0"/>
                <w:numId w:val="19"/>
              </w:numPr>
            </w:pPr>
            <w:r w:rsidRPr="00A45B48">
              <w:rPr>
                <w:bCs/>
              </w:rPr>
              <w:t>P</w:t>
            </w:r>
            <w:r w:rsidRPr="00A45B48">
              <w:t>harmacists should review the self-declaration form at least every 3 years or, earlier if the Pharmacists feels his/her competence levels have declined due to undertaking too few consultations.</w:t>
            </w:r>
          </w:p>
          <w:p w14:paraId="577FB6DB" w14:textId="2F95E755" w:rsidR="005A3CC4" w:rsidRPr="00A45B48" w:rsidRDefault="005A3CC4" w:rsidP="00167DF3">
            <w:pPr>
              <w:pStyle w:val="BodyText"/>
              <w:numPr>
                <w:ilvl w:val="0"/>
                <w:numId w:val="19"/>
              </w:numPr>
            </w:pPr>
            <w:r w:rsidRPr="00A45B48">
              <w:t>See</w:t>
            </w:r>
            <w:r w:rsidR="003B0C69" w:rsidRPr="00A45B48">
              <w:t xml:space="preserve"> 3.1.</w:t>
            </w:r>
          </w:p>
          <w:p w14:paraId="4BE9BC69" w14:textId="77777777" w:rsidR="00B96904" w:rsidRPr="00A45B48" w:rsidRDefault="00B96904" w:rsidP="00167DF3">
            <w:pPr>
              <w:pStyle w:val="BodyText"/>
              <w:ind w:left="720"/>
            </w:pPr>
          </w:p>
          <w:p w14:paraId="60EDD804" w14:textId="77777777" w:rsidR="00B96904" w:rsidRPr="00A45B48" w:rsidRDefault="00B96904" w:rsidP="00167DF3">
            <w:pPr>
              <w:pStyle w:val="BodyText"/>
              <w:rPr>
                <w:bCs/>
                <w:color w:val="339966"/>
              </w:rPr>
            </w:pPr>
            <w:r w:rsidRPr="00A45B48">
              <w:rPr>
                <w:bCs/>
                <w:color w:val="339966"/>
              </w:rPr>
              <w:t xml:space="preserve">3.5 Patient and Public Involvement (PPI) </w:t>
            </w:r>
          </w:p>
          <w:p w14:paraId="1F85036C" w14:textId="77777777" w:rsidR="00B96904" w:rsidRPr="00A45B48" w:rsidRDefault="006E2E67" w:rsidP="00167DF3">
            <w:pPr>
              <w:pStyle w:val="BodyText"/>
              <w:numPr>
                <w:ilvl w:val="0"/>
                <w:numId w:val="20"/>
              </w:numPr>
              <w:rPr>
                <w:bCs/>
              </w:rPr>
            </w:pPr>
            <w:r w:rsidRPr="00A45B48">
              <w:rPr>
                <w:bCs/>
              </w:rPr>
              <w:t>Pharmacies</w:t>
            </w:r>
            <w:r w:rsidR="00B96904" w:rsidRPr="00A45B48">
              <w:rPr>
                <w:bCs/>
              </w:rPr>
              <w:t xml:space="preserve"> will complete the annual Community Pharmacy Patient Questionnaire (CPPQ) and review feedback</w:t>
            </w:r>
            <w:r w:rsidR="00B96904" w:rsidRPr="00A45B48">
              <w:rPr>
                <w:rFonts w:eastAsiaTheme="minorHAnsi"/>
              </w:rPr>
              <w:t xml:space="preserve"> </w:t>
            </w:r>
            <w:r w:rsidR="00B96904" w:rsidRPr="00A45B48">
              <w:rPr>
                <w:bCs/>
              </w:rPr>
              <w:t xml:space="preserve">to evaluate public health commissioned services where appropriate and use this information to support service improvement. </w:t>
            </w:r>
          </w:p>
          <w:p w14:paraId="4CE10446" w14:textId="77777777" w:rsidR="00B96904" w:rsidRPr="00A45B48" w:rsidRDefault="00B96904" w:rsidP="00167DF3">
            <w:pPr>
              <w:pStyle w:val="ListParagraph"/>
              <w:numPr>
                <w:ilvl w:val="0"/>
                <w:numId w:val="20"/>
              </w:numPr>
              <w:jc w:val="left"/>
              <w:rPr>
                <w:rFonts w:cs="Arial"/>
                <w:bCs/>
                <w:sz w:val="22"/>
                <w:szCs w:val="22"/>
              </w:rPr>
            </w:pPr>
            <w:r w:rsidRPr="00A45B48">
              <w:rPr>
                <w:rFonts w:cs="Arial"/>
                <w:bCs/>
                <w:sz w:val="22"/>
                <w:szCs w:val="22"/>
              </w:rPr>
              <w:t>The pharmacy co-operates with any locally agreed North Somerset Led assessment of service user experience. This includes being willing to participate in periodic ‘mystery shopping’ exercises to monitor quality.</w:t>
            </w:r>
          </w:p>
          <w:p w14:paraId="6F6DDA8D" w14:textId="77777777" w:rsidR="00B96904" w:rsidRPr="00A45B48" w:rsidRDefault="00B96904" w:rsidP="00167DF3">
            <w:pPr>
              <w:pStyle w:val="BodyText"/>
              <w:ind w:left="360"/>
              <w:rPr>
                <w:bCs/>
              </w:rPr>
            </w:pPr>
          </w:p>
          <w:p w14:paraId="1C82F4BB" w14:textId="66F371A3" w:rsidR="00B96904" w:rsidRPr="00A45B48" w:rsidRDefault="00B96904" w:rsidP="00167DF3">
            <w:pPr>
              <w:pStyle w:val="Default"/>
              <w:rPr>
                <w:rFonts w:eastAsia="MS ??"/>
                <w:color w:val="auto"/>
                <w:sz w:val="22"/>
                <w:szCs w:val="22"/>
              </w:rPr>
            </w:pPr>
            <w:r w:rsidRPr="00A45B48">
              <w:rPr>
                <w:rFonts w:eastAsia="MS ??"/>
                <w:color w:val="auto"/>
                <w:sz w:val="22"/>
                <w:szCs w:val="22"/>
              </w:rPr>
              <w:t>Pharmacists are required to complete an annual Pharmacy Clinical Governance Assurance Statement to provide assurance that public health commissioned services in North Somerset are safe, effective</w:t>
            </w:r>
            <w:r w:rsidR="003B0C69" w:rsidRPr="00A45B48">
              <w:rPr>
                <w:rFonts w:eastAsia="MS ??"/>
                <w:color w:val="auto"/>
                <w:sz w:val="22"/>
                <w:szCs w:val="22"/>
              </w:rPr>
              <w:t>,</w:t>
            </w:r>
            <w:r w:rsidRPr="00A45B48">
              <w:rPr>
                <w:rFonts w:eastAsia="MS ??"/>
                <w:color w:val="auto"/>
                <w:sz w:val="22"/>
                <w:szCs w:val="22"/>
              </w:rPr>
              <w:t xml:space="preserve"> and meet the required quality standards.</w:t>
            </w:r>
          </w:p>
          <w:p w14:paraId="64664D5B" w14:textId="77777777" w:rsidR="003B0C69" w:rsidRPr="00A45B48" w:rsidRDefault="003B0C69" w:rsidP="00167DF3">
            <w:pPr>
              <w:pStyle w:val="Default"/>
              <w:rPr>
                <w:sz w:val="22"/>
                <w:szCs w:val="22"/>
              </w:rPr>
            </w:pPr>
          </w:p>
        </w:tc>
      </w:tr>
      <w:tr w:rsidR="00B96904" w:rsidRPr="00A45B48" w14:paraId="0D43C135"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shd w:val="clear" w:color="auto" w:fill="666666"/>
          </w:tcPr>
          <w:p w14:paraId="30D4C50E" w14:textId="77777777" w:rsidR="00B96904" w:rsidRPr="00A45B48" w:rsidRDefault="00B96904" w:rsidP="00EB15C2">
            <w:pPr>
              <w:pStyle w:val="BodyText"/>
              <w:jc w:val="both"/>
              <w:rPr>
                <w:color w:val="FFFF00"/>
              </w:rPr>
            </w:pPr>
            <w:r w:rsidRPr="00A45B48">
              <w:rPr>
                <w:color w:val="FFFF00"/>
              </w:rPr>
              <w:lastRenderedPageBreak/>
              <w:t>4.  Information provision</w:t>
            </w:r>
          </w:p>
          <w:p w14:paraId="6D987815" w14:textId="77777777" w:rsidR="00B96904" w:rsidRPr="00A45B48" w:rsidRDefault="00B96904" w:rsidP="00EB15C2">
            <w:pPr>
              <w:pStyle w:val="BodyText"/>
              <w:jc w:val="both"/>
              <w:rPr>
                <w:color w:val="FFFFFF"/>
                <w:u w:val="single"/>
              </w:rPr>
            </w:pPr>
          </w:p>
        </w:tc>
      </w:tr>
      <w:tr w:rsidR="00B96904" w:rsidRPr="00A45B48" w14:paraId="21E89F1A"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tcPr>
          <w:p w14:paraId="7B57C03A" w14:textId="77777777" w:rsidR="00B96904" w:rsidRPr="00A45B48" w:rsidRDefault="00B96904" w:rsidP="00EB15C2">
            <w:pPr>
              <w:jc w:val="left"/>
              <w:rPr>
                <w:rFonts w:cs="Arial"/>
                <w:b/>
                <w:color w:val="339966"/>
                <w:sz w:val="22"/>
                <w:szCs w:val="22"/>
              </w:rPr>
            </w:pPr>
          </w:p>
          <w:p w14:paraId="70767730" w14:textId="77777777" w:rsidR="00B96904" w:rsidRPr="00A45B48" w:rsidRDefault="00B96904" w:rsidP="00EB15C2">
            <w:pPr>
              <w:jc w:val="left"/>
              <w:rPr>
                <w:rFonts w:cs="Arial"/>
                <w:b/>
                <w:color w:val="339966"/>
                <w:sz w:val="22"/>
                <w:szCs w:val="22"/>
              </w:rPr>
            </w:pPr>
            <w:r w:rsidRPr="00A45B48">
              <w:rPr>
                <w:rFonts w:cs="Arial"/>
                <w:b/>
                <w:color w:val="339966"/>
                <w:sz w:val="22"/>
                <w:szCs w:val="22"/>
              </w:rPr>
              <w:t>4.1 Record of activity</w:t>
            </w:r>
          </w:p>
          <w:p w14:paraId="13FE08E1" w14:textId="0DE8D8F5" w:rsidR="00EF1CAF" w:rsidRPr="00A45B48" w:rsidRDefault="00EF1CAF" w:rsidP="00EB15C2">
            <w:pPr>
              <w:numPr>
                <w:ilvl w:val="0"/>
                <w:numId w:val="27"/>
              </w:numPr>
              <w:suppressAutoHyphens w:val="0"/>
              <w:autoSpaceDE w:val="0"/>
              <w:autoSpaceDN w:val="0"/>
              <w:adjustRightInd w:val="0"/>
              <w:ind w:left="714" w:hanging="357"/>
              <w:jc w:val="left"/>
              <w:rPr>
                <w:rFonts w:cs="Arial"/>
                <w:sz w:val="22"/>
                <w:szCs w:val="22"/>
                <w:lang w:eastAsia="en-GB"/>
              </w:rPr>
            </w:pPr>
            <w:r w:rsidRPr="00A45B48">
              <w:rPr>
                <w:rFonts w:cs="Arial"/>
                <w:sz w:val="22"/>
                <w:szCs w:val="22"/>
                <w:lang w:eastAsia="en-GB"/>
              </w:rPr>
              <w:t xml:space="preserve">All service activity will be reported through </w:t>
            </w:r>
            <w:proofErr w:type="spellStart"/>
            <w:r w:rsidRPr="00A45B48">
              <w:rPr>
                <w:rFonts w:cs="Arial"/>
                <w:sz w:val="22"/>
                <w:szCs w:val="22"/>
                <w:lang w:eastAsia="en-GB"/>
              </w:rPr>
              <w:t>PharmOutcomes</w:t>
            </w:r>
            <w:proofErr w:type="spellEnd"/>
            <w:r w:rsidRPr="00A45B48">
              <w:rPr>
                <w:rFonts w:cs="Arial"/>
                <w:sz w:val="22"/>
                <w:szCs w:val="22"/>
                <w:lang w:eastAsia="en-GB"/>
              </w:rPr>
              <w:t xml:space="preserve"> which will be used to monitor service delivery and to generate invoices for the payment of service delivery</w:t>
            </w:r>
            <w:r w:rsidR="00EB15C2" w:rsidRPr="00A45B48">
              <w:rPr>
                <w:rFonts w:cs="Arial"/>
                <w:sz w:val="22"/>
                <w:szCs w:val="22"/>
                <w:lang w:eastAsia="en-GB"/>
              </w:rPr>
              <w:t>.</w:t>
            </w:r>
            <w:r w:rsidRPr="00A45B48">
              <w:rPr>
                <w:rFonts w:cs="Arial"/>
                <w:sz w:val="22"/>
                <w:szCs w:val="22"/>
                <w:lang w:eastAsia="en-GB"/>
              </w:rPr>
              <w:t xml:space="preserve"> </w:t>
            </w:r>
          </w:p>
          <w:p w14:paraId="13A76A98" w14:textId="5AC9E1D0" w:rsidR="00EF1CAF" w:rsidRPr="00A45B48" w:rsidRDefault="00EF1CAF" w:rsidP="00EB15C2">
            <w:pPr>
              <w:numPr>
                <w:ilvl w:val="0"/>
                <w:numId w:val="27"/>
              </w:numPr>
              <w:suppressAutoHyphens w:val="0"/>
              <w:autoSpaceDE w:val="0"/>
              <w:autoSpaceDN w:val="0"/>
              <w:adjustRightInd w:val="0"/>
              <w:ind w:left="714" w:hanging="357"/>
              <w:jc w:val="left"/>
              <w:rPr>
                <w:rFonts w:cs="Arial"/>
                <w:sz w:val="22"/>
                <w:szCs w:val="22"/>
                <w:lang w:eastAsia="en-GB"/>
              </w:rPr>
            </w:pPr>
            <w:r w:rsidRPr="00A45B48">
              <w:rPr>
                <w:rFonts w:cs="Arial"/>
                <w:sz w:val="22"/>
                <w:szCs w:val="22"/>
                <w:lang w:eastAsia="en-GB"/>
              </w:rPr>
              <w:t>The payment schedule has been designed in such a way that it responds to and rewards output levels</w:t>
            </w:r>
            <w:r w:rsidR="00EB15C2" w:rsidRPr="00A45B48">
              <w:rPr>
                <w:rFonts w:cs="Arial"/>
                <w:sz w:val="22"/>
                <w:szCs w:val="22"/>
                <w:lang w:eastAsia="en-GB"/>
              </w:rPr>
              <w:t>.</w:t>
            </w:r>
          </w:p>
          <w:p w14:paraId="18B10E4E" w14:textId="38D7F42A" w:rsidR="00EF1CAF" w:rsidRPr="00A45B48" w:rsidRDefault="00EF1CAF" w:rsidP="00EB15C2">
            <w:pPr>
              <w:numPr>
                <w:ilvl w:val="0"/>
                <w:numId w:val="27"/>
              </w:numPr>
              <w:suppressAutoHyphens w:val="0"/>
              <w:autoSpaceDE w:val="0"/>
              <w:autoSpaceDN w:val="0"/>
              <w:adjustRightInd w:val="0"/>
              <w:ind w:left="714" w:hanging="357"/>
              <w:jc w:val="left"/>
              <w:rPr>
                <w:rFonts w:cs="Arial"/>
                <w:sz w:val="22"/>
                <w:szCs w:val="22"/>
                <w:lang w:eastAsia="en-GB"/>
              </w:rPr>
            </w:pPr>
            <w:r w:rsidRPr="00A45B48">
              <w:rPr>
                <w:rFonts w:cs="Arial"/>
                <w:sz w:val="22"/>
                <w:szCs w:val="22"/>
                <w:lang w:eastAsia="en-GB"/>
              </w:rPr>
              <w:lastRenderedPageBreak/>
              <w:t>Any critical incidents occurring will be reported separately to the Substance Misuse Project Officer in line with the Council’s protocol and will be reviewed by the Council and where appropriate the AVON LPC. Any findings from these reviews will be issued to the Provider in writing along with any actions the Council will be taking in response. These actions will range from: the creation and monitoring of improvement plans up to immediate cessation of the service</w:t>
            </w:r>
            <w:r w:rsidR="00EB15C2" w:rsidRPr="00A45B48">
              <w:rPr>
                <w:rFonts w:cs="Arial"/>
                <w:sz w:val="22"/>
                <w:szCs w:val="22"/>
                <w:lang w:eastAsia="en-GB"/>
              </w:rPr>
              <w:t>.</w:t>
            </w:r>
          </w:p>
          <w:p w14:paraId="7D6E9803" w14:textId="77777777" w:rsidR="00B96904" w:rsidRPr="00A45B48" w:rsidRDefault="00B96904" w:rsidP="00EB15C2">
            <w:pPr>
              <w:pStyle w:val="BodyText"/>
              <w:jc w:val="both"/>
            </w:pPr>
          </w:p>
          <w:p w14:paraId="16CA95A4" w14:textId="77777777" w:rsidR="00B96904" w:rsidRPr="00A45B48" w:rsidRDefault="00B96904" w:rsidP="00EB15C2">
            <w:pPr>
              <w:pStyle w:val="BodyText"/>
              <w:jc w:val="both"/>
              <w:rPr>
                <w:b/>
                <w:bCs/>
                <w:color w:val="339966"/>
              </w:rPr>
            </w:pPr>
            <w:r w:rsidRPr="00A45B48">
              <w:rPr>
                <w:b/>
                <w:bCs/>
                <w:color w:val="339966"/>
              </w:rPr>
              <w:t>4.2 Service user feedback</w:t>
            </w:r>
          </w:p>
          <w:p w14:paraId="706AA2CB" w14:textId="2B864E62" w:rsidR="00EB15C2" w:rsidRPr="00A45B48" w:rsidRDefault="00B34609" w:rsidP="00EB15C2">
            <w:pPr>
              <w:suppressAutoHyphens w:val="0"/>
              <w:spacing w:after="120"/>
              <w:ind w:right="206"/>
              <w:jc w:val="left"/>
              <w:rPr>
                <w:rFonts w:cs="Arial"/>
                <w:sz w:val="22"/>
                <w:szCs w:val="22"/>
              </w:rPr>
            </w:pPr>
            <w:r w:rsidRPr="00A45B48">
              <w:rPr>
                <w:rFonts w:cs="Arial"/>
                <w:sz w:val="22"/>
                <w:szCs w:val="22"/>
              </w:rPr>
              <w:t>Service user feedback will be obtained through the annual community questionnaire, and adverse comments will be monitored and associated pharmacies contacted to review</w:t>
            </w:r>
            <w:r w:rsidR="00006681" w:rsidRPr="00A45B48">
              <w:rPr>
                <w:rFonts w:cs="Arial"/>
                <w:sz w:val="22"/>
                <w:szCs w:val="22"/>
              </w:rPr>
              <w:t>.</w:t>
            </w:r>
          </w:p>
          <w:p w14:paraId="7D13C6EB" w14:textId="7AC31ED4" w:rsidR="002A63D5" w:rsidRPr="00A45B48" w:rsidRDefault="002A63D5" w:rsidP="00EB15C2">
            <w:pPr>
              <w:suppressAutoHyphens w:val="0"/>
              <w:spacing w:after="120"/>
              <w:ind w:right="206"/>
              <w:jc w:val="left"/>
              <w:rPr>
                <w:rFonts w:cs="Arial"/>
                <w:b/>
                <w:bCs/>
                <w:color w:val="339966"/>
                <w:sz w:val="22"/>
                <w:szCs w:val="22"/>
              </w:rPr>
            </w:pPr>
            <w:r w:rsidRPr="00A45B48">
              <w:rPr>
                <w:rFonts w:cs="Arial"/>
                <w:b/>
                <w:bCs/>
                <w:color w:val="339966"/>
                <w:sz w:val="22"/>
                <w:szCs w:val="22"/>
              </w:rPr>
              <w:t>4.3 Key Performance Indicators (KPI)</w:t>
            </w:r>
          </w:p>
          <w:p w14:paraId="02EAA859" w14:textId="66B34503" w:rsidR="00CF33F5" w:rsidRDefault="00CF33F5" w:rsidP="00CF33F5">
            <w:pPr>
              <w:pStyle w:val="BodyText"/>
            </w:pPr>
            <w:r w:rsidRPr="00A45B48">
              <w:t>There are no set KPI’s for this service.</w:t>
            </w:r>
            <w:r>
              <w:t xml:space="preserve"> </w:t>
            </w:r>
            <w:r w:rsidRPr="0044526A">
              <w:t xml:space="preserve">This service will support the outcomes measured by the Department of Health and Social Care (DHSC) and the </w:t>
            </w:r>
            <w:r>
              <w:t>O</w:t>
            </w:r>
            <w:r w:rsidRPr="0044526A">
              <w:t xml:space="preserve">ffice of Health </w:t>
            </w:r>
            <w:r>
              <w:t>Improvement and Disparities</w:t>
            </w:r>
            <w:r w:rsidRPr="0044526A">
              <w:t xml:space="preserve"> (OHID)</w:t>
            </w:r>
            <w:r>
              <w:t>.</w:t>
            </w:r>
          </w:p>
          <w:p w14:paraId="70D4C505" w14:textId="77777777" w:rsidR="00CF33F5" w:rsidRDefault="00CF33F5" w:rsidP="00CF33F5">
            <w:pPr>
              <w:pStyle w:val="BodyText"/>
            </w:pPr>
          </w:p>
          <w:p w14:paraId="04B5202D" w14:textId="7C841F05" w:rsidR="002A63D5" w:rsidRPr="00A45B48" w:rsidRDefault="002A63D5" w:rsidP="00EB15C2">
            <w:pPr>
              <w:pStyle w:val="BodyText"/>
              <w:jc w:val="both"/>
            </w:pPr>
            <w:r w:rsidRPr="00A45B48">
              <w:t xml:space="preserve">Service delivery will be monitored through data recorded on </w:t>
            </w:r>
            <w:proofErr w:type="spellStart"/>
            <w:r w:rsidRPr="00A45B48">
              <w:t>PharmOutcomes</w:t>
            </w:r>
            <w:proofErr w:type="spellEnd"/>
            <w:r w:rsidRPr="00A45B48">
              <w:t xml:space="preserve">, critical incidents and service user feedback. </w:t>
            </w:r>
          </w:p>
          <w:p w14:paraId="74DB7371" w14:textId="2880DD3B" w:rsidR="002A63D5" w:rsidRPr="00A45B48" w:rsidRDefault="002A63D5" w:rsidP="00EB15C2">
            <w:pPr>
              <w:suppressAutoHyphens w:val="0"/>
              <w:spacing w:after="120"/>
              <w:ind w:right="206"/>
              <w:jc w:val="left"/>
              <w:rPr>
                <w:rFonts w:cs="Arial"/>
                <w:sz w:val="22"/>
                <w:szCs w:val="22"/>
              </w:rPr>
            </w:pPr>
          </w:p>
        </w:tc>
      </w:tr>
      <w:tr w:rsidR="00B96904" w:rsidRPr="00A45B48" w14:paraId="7B0FFD8D"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shd w:val="clear" w:color="auto" w:fill="666666"/>
          </w:tcPr>
          <w:p w14:paraId="7117C7EC" w14:textId="77777777" w:rsidR="00B96904" w:rsidRPr="00A45B48" w:rsidRDefault="00B96904" w:rsidP="00EB15C2">
            <w:pPr>
              <w:pStyle w:val="BodyText"/>
              <w:jc w:val="both"/>
              <w:rPr>
                <w:color w:val="FFFFFF"/>
                <w:u w:val="single"/>
              </w:rPr>
            </w:pPr>
          </w:p>
          <w:p w14:paraId="385DA1AB" w14:textId="0F762AD0" w:rsidR="00B96904" w:rsidRPr="00A45B48" w:rsidRDefault="002A63D5" w:rsidP="00EB15C2">
            <w:pPr>
              <w:pStyle w:val="BodyText"/>
              <w:jc w:val="both"/>
              <w:rPr>
                <w:color w:val="FFFFFF"/>
                <w:u w:val="single"/>
              </w:rPr>
            </w:pPr>
            <w:r w:rsidRPr="00A45B48">
              <w:rPr>
                <w:color w:val="FFFF00"/>
              </w:rPr>
              <w:t>5</w:t>
            </w:r>
            <w:r w:rsidR="00B96904" w:rsidRPr="00A45B48">
              <w:rPr>
                <w:color w:val="FFFF00"/>
              </w:rPr>
              <w:t xml:space="preserve">.  </w:t>
            </w:r>
            <w:r w:rsidRPr="00A45B48">
              <w:rPr>
                <w:color w:val="FFFF00"/>
              </w:rPr>
              <w:t>Financial Details</w:t>
            </w:r>
          </w:p>
        </w:tc>
      </w:tr>
      <w:tr w:rsidR="00B96904" w:rsidRPr="00A45B48" w14:paraId="6D708FFD" w14:textId="77777777" w:rsidTr="79EA2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05" w:type="dxa"/>
            <w:gridSpan w:val="2"/>
            <w:tcBorders>
              <w:top w:val="single" w:sz="4" w:space="0" w:color="999999"/>
              <w:left w:val="single" w:sz="4" w:space="0" w:color="999999"/>
              <w:bottom w:val="single" w:sz="4" w:space="0" w:color="999999"/>
              <w:right w:val="single" w:sz="4" w:space="0" w:color="999999"/>
            </w:tcBorders>
          </w:tcPr>
          <w:p w14:paraId="10CA424C" w14:textId="0B537F37" w:rsidR="00383545" w:rsidRPr="00A45B48" w:rsidRDefault="00383545" w:rsidP="00EB15C2">
            <w:pPr>
              <w:ind w:right="206"/>
              <w:rPr>
                <w:rFonts w:cs="Arial"/>
                <w:sz w:val="22"/>
                <w:szCs w:val="22"/>
              </w:rPr>
            </w:pPr>
            <w:r w:rsidRPr="00A45B48">
              <w:rPr>
                <w:rFonts w:cs="Arial"/>
                <w:sz w:val="22"/>
                <w:szCs w:val="22"/>
              </w:rPr>
              <w:t>Claims will be accepted up to 3 months after the end of the month being claimed for</w:t>
            </w:r>
            <w:r w:rsidR="00006681" w:rsidRPr="00A45B48">
              <w:rPr>
                <w:rFonts w:cs="Arial"/>
                <w:sz w:val="22"/>
                <w:szCs w:val="22"/>
              </w:rPr>
              <w:t>.</w:t>
            </w:r>
            <w:r w:rsidRPr="00A45B48">
              <w:rPr>
                <w:rFonts w:cs="Arial"/>
                <w:sz w:val="22"/>
                <w:szCs w:val="22"/>
              </w:rPr>
              <w:t xml:space="preserve"> </w:t>
            </w:r>
          </w:p>
          <w:p w14:paraId="0AD8AC58" w14:textId="77777777" w:rsidR="00383545" w:rsidRPr="00A45B48" w:rsidRDefault="00383545" w:rsidP="00EB15C2">
            <w:pPr>
              <w:ind w:right="206"/>
              <w:rPr>
                <w:rFonts w:cs="Arial"/>
                <w:sz w:val="22"/>
                <w:szCs w:val="22"/>
              </w:rPr>
            </w:pPr>
          </w:p>
          <w:p w14:paraId="35636A60" w14:textId="5C573336" w:rsidR="00383545" w:rsidRPr="00A45B48" w:rsidRDefault="00383545" w:rsidP="00EB15C2">
            <w:pPr>
              <w:ind w:right="206"/>
              <w:rPr>
                <w:rFonts w:cs="Arial"/>
                <w:sz w:val="22"/>
                <w:szCs w:val="22"/>
              </w:rPr>
            </w:pPr>
            <w:r w:rsidRPr="00A45B48">
              <w:rPr>
                <w:rFonts w:cs="Arial"/>
                <w:sz w:val="22"/>
                <w:szCs w:val="22"/>
              </w:rPr>
              <w:t xml:space="preserve">Payments will be based on the activity recorded on </w:t>
            </w:r>
            <w:proofErr w:type="spellStart"/>
            <w:r w:rsidRPr="00A45B48">
              <w:rPr>
                <w:rFonts w:cs="Arial"/>
                <w:sz w:val="22"/>
                <w:szCs w:val="22"/>
              </w:rPr>
              <w:t>PharmOutcomes</w:t>
            </w:r>
            <w:proofErr w:type="spellEnd"/>
            <w:r w:rsidRPr="00A45B48">
              <w:rPr>
                <w:rFonts w:cs="Arial"/>
                <w:sz w:val="22"/>
                <w:szCs w:val="22"/>
              </w:rPr>
              <w:t>.</w:t>
            </w:r>
            <w:r w:rsidR="00006681" w:rsidRPr="00A45B48">
              <w:rPr>
                <w:rFonts w:cs="Arial"/>
                <w:sz w:val="22"/>
                <w:szCs w:val="22"/>
              </w:rPr>
              <w:t xml:space="preserve"> </w:t>
            </w:r>
            <w:r w:rsidRPr="00A45B48">
              <w:rPr>
                <w:rFonts w:cs="Arial"/>
                <w:sz w:val="22"/>
                <w:szCs w:val="22"/>
              </w:rPr>
              <w:t xml:space="preserve">Invoices will be calculated and submitted by </w:t>
            </w:r>
            <w:proofErr w:type="spellStart"/>
            <w:r w:rsidRPr="00A45B48">
              <w:rPr>
                <w:rFonts w:cs="Arial"/>
                <w:sz w:val="22"/>
                <w:szCs w:val="22"/>
              </w:rPr>
              <w:t>PharmOutcomes</w:t>
            </w:r>
            <w:proofErr w:type="spellEnd"/>
            <w:r w:rsidRPr="00A45B48">
              <w:rPr>
                <w:rFonts w:cs="Arial"/>
                <w:sz w:val="22"/>
                <w:szCs w:val="22"/>
              </w:rPr>
              <w:t xml:space="preserve"> and will be made monthly in arrears. </w:t>
            </w:r>
          </w:p>
          <w:p w14:paraId="6E47D796" w14:textId="77777777" w:rsidR="00383545" w:rsidRPr="00A45B48" w:rsidRDefault="00383545" w:rsidP="00EB15C2">
            <w:pPr>
              <w:ind w:right="206"/>
              <w:rPr>
                <w:rFonts w:cs="Arial"/>
                <w:sz w:val="22"/>
                <w:szCs w:val="22"/>
              </w:rPr>
            </w:pPr>
          </w:p>
          <w:p w14:paraId="552690D3" w14:textId="77777777" w:rsidR="00383545" w:rsidRPr="00A45B48" w:rsidRDefault="00383545" w:rsidP="00EB15C2">
            <w:pPr>
              <w:ind w:right="206"/>
              <w:rPr>
                <w:rFonts w:cs="Arial"/>
                <w:sz w:val="22"/>
                <w:szCs w:val="22"/>
              </w:rPr>
            </w:pPr>
            <w:r w:rsidRPr="00A45B48">
              <w:rPr>
                <w:rFonts w:cs="Arial"/>
                <w:sz w:val="22"/>
                <w:szCs w:val="22"/>
              </w:rPr>
              <w:t>Payments will be made as follows:</w:t>
            </w:r>
          </w:p>
          <w:p w14:paraId="438EC7E4" w14:textId="45A507C3" w:rsidR="00383545" w:rsidRPr="00A45B48" w:rsidRDefault="002A63D5" w:rsidP="00EB15C2">
            <w:pPr>
              <w:numPr>
                <w:ilvl w:val="0"/>
                <w:numId w:val="26"/>
              </w:numPr>
              <w:suppressAutoHyphens w:val="0"/>
              <w:ind w:right="206"/>
              <w:rPr>
                <w:rFonts w:cs="Arial"/>
                <w:sz w:val="22"/>
                <w:szCs w:val="22"/>
              </w:rPr>
            </w:pPr>
            <w:r w:rsidRPr="00A45B48">
              <w:rPr>
                <w:rFonts w:cs="Arial"/>
                <w:sz w:val="22"/>
                <w:szCs w:val="22"/>
              </w:rPr>
              <w:t xml:space="preserve">£2.50 for each supervision per client (data to be recorded – Number of clients supervised each </w:t>
            </w:r>
            <w:r w:rsidR="00A14FD3" w:rsidRPr="00A45B48">
              <w:rPr>
                <w:rFonts w:cs="Arial"/>
                <w:sz w:val="22"/>
                <w:szCs w:val="22"/>
              </w:rPr>
              <w:t>week</w:t>
            </w:r>
            <w:r w:rsidRPr="00A45B48">
              <w:rPr>
                <w:rFonts w:cs="Arial"/>
                <w:sz w:val="22"/>
                <w:szCs w:val="22"/>
              </w:rPr>
              <w:t xml:space="preserve"> for the number of days – see example below)</w:t>
            </w:r>
            <w:r w:rsidR="009D13ED">
              <w:rPr>
                <w:rFonts w:cs="Arial"/>
                <w:sz w:val="22"/>
                <w:szCs w:val="22"/>
              </w:rPr>
              <w:t>, although we would not expect many, if any to be supervised once / week.</w:t>
            </w:r>
          </w:p>
          <w:p w14:paraId="372C0C83" w14:textId="77777777" w:rsidR="00A14FD3" w:rsidRPr="00A45B48" w:rsidRDefault="00A14FD3" w:rsidP="00EB15C2">
            <w:pPr>
              <w:suppressAutoHyphens w:val="0"/>
              <w:ind w:left="502" w:right="206"/>
              <w:rPr>
                <w:rFonts w:cs="Arial"/>
                <w:sz w:val="22"/>
                <w:szCs w:val="22"/>
              </w:rPr>
            </w:pPr>
          </w:p>
          <w:tbl>
            <w:tblPr>
              <w:tblStyle w:val="TableGrid"/>
              <w:tblW w:w="0" w:type="auto"/>
              <w:jc w:val="center"/>
              <w:tblLook w:val="04A0" w:firstRow="1" w:lastRow="0" w:firstColumn="1" w:lastColumn="0" w:noHBand="0" w:noVBand="1"/>
            </w:tblPr>
            <w:tblGrid>
              <w:gridCol w:w="1696"/>
              <w:gridCol w:w="1567"/>
              <w:gridCol w:w="1884"/>
            </w:tblGrid>
            <w:tr w:rsidR="00A14FD3" w:rsidRPr="00A45B48" w14:paraId="426FD9A8" w14:textId="77777777" w:rsidTr="79EA2E33">
              <w:trPr>
                <w:jc w:val="center"/>
              </w:trPr>
              <w:tc>
                <w:tcPr>
                  <w:tcW w:w="1696" w:type="dxa"/>
                  <w:tcMar>
                    <w:left w:w="28" w:type="dxa"/>
                    <w:right w:w="28" w:type="dxa"/>
                  </w:tcMar>
                </w:tcPr>
                <w:p w14:paraId="7EEA792C" w14:textId="77777777" w:rsidR="00A14FD3" w:rsidRPr="00A45B48" w:rsidRDefault="00A14FD3" w:rsidP="00EB15C2">
                  <w:pPr>
                    <w:ind w:right="206"/>
                    <w:rPr>
                      <w:rFonts w:cs="Arial"/>
                      <w:sz w:val="22"/>
                      <w:szCs w:val="22"/>
                    </w:rPr>
                  </w:pPr>
                  <w:r w:rsidRPr="00A45B48">
                    <w:rPr>
                      <w:rFonts w:cs="Arial"/>
                      <w:sz w:val="22"/>
                      <w:szCs w:val="22"/>
                    </w:rPr>
                    <w:t>Number of patients</w:t>
                  </w:r>
                </w:p>
              </w:tc>
              <w:tc>
                <w:tcPr>
                  <w:tcW w:w="1567" w:type="dxa"/>
                  <w:tcMar>
                    <w:left w:w="28" w:type="dxa"/>
                    <w:right w:w="28" w:type="dxa"/>
                  </w:tcMar>
                </w:tcPr>
                <w:p w14:paraId="043784B9" w14:textId="77777777" w:rsidR="00A14FD3" w:rsidRPr="00A45B48" w:rsidRDefault="00A14FD3" w:rsidP="00EB15C2">
                  <w:pPr>
                    <w:ind w:right="206"/>
                    <w:jc w:val="center"/>
                    <w:rPr>
                      <w:rFonts w:cs="Arial"/>
                      <w:sz w:val="22"/>
                      <w:szCs w:val="22"/>
                    </w:rPr>
                  </w:pPr>
                  <w:r w:rsidRPr="00A45B48">
                    <w:rPr>
                      <w:rFonts w:cs="Arial"/>
                      <w:sz w:val="22"/>
                      <w:szCs w:val="22"/>
                    </w:rPr>
                    <w:t>Supervised Days / week</w:t>
                  </w:r>
                </w:p>
              </w:tc>
              <w:tc>
                <w:tcPr>
                  <w:tcW w:w="1884" w:type="dxa"/>
                  <w:tcMar>
                    <w:left w:w="28" w:type="dxa"/>
                    <w:right w:w="28" w:type="dxa"/>
                  </w:tcMar>
                </w:tcPr>
                <w:p w14:paraId="60EB6ADF" w14:textId="77777777" w:rsidR="00A14FD3" w:rsidRPr="00A45B48" w:rsidRDefault="00A14FD3" w:rsidP="00EB15C2">
                  <w:pPr>
                    <w:ind w:right="206"/>
                    <w:jc w:val="center"/>
                    <w:rPr>
                      <w:rFonts w:cs="Arial"/>
                      <w:sz w:val="22"/>
                      <w:szCs w:val="22"/>
                    </w:rPr>
                  </w:pPr>
                  <w:r w:rsidRPr="79EA2E33">
                    <w:rPr>
                      <w:rFonts w:cs="Arial"/>
                      <w:sz w:val="22"/>
                      <w:szCs w:val="22"/>
                    </w:rPr>
                    <w:t xml:space="preserve">Payment / month </w:t>
                  </w:r>
                  <w:commentRangeStart w:id="1"/>
                  <w:commentRangeEnd w:id="1"/>
                  <w:r>
                    <w:rPr>
                      <w:rStyle w:val="CommentReference"/>
                    </w:rPr>
                    <w:commentReference w:id="1"/>
                  </w:r>
                </w:p>
              </w:tc>
            </w:tr>
            <w:tr w:rsidR="00A14FD3" w:rsidRPr="00A45B48" w14:paraId="70FE12C7" w14:textId="77777777" w:rsidTr="79EA2E33">
              <w:trPr>
                <w:jc w:val="center"/>
              </w:trPr>
              <w:tc>
                <w:tcPr>
                  <w:tcW w:w="1696" w:type="dxa"/>
                  <w:tcMar>
                    <w:left w:w="28" w:type="dxa"/>
                    <w:right w:w="28" w:type="dxa"/>
                  </w:tcMar>
                </w:tcPr>
                <w:p w14:paraId="734EBE57" w14:textId="77777777" w:rsidR="00A14FD3" w:rsidRPr="00A45B48" w:rsidRDefault="00A14FD3" w:rsidP="00EB15C2">
                  <w:pPr>
                    <w:ind w:right="206"/>
                    <w:rPr>
                      <w:rFonts w:cs="Arial"/>
                      <w:sz w:val="22"/>
                      <w:szCs w:val="22"/>
                    </w:rPr>
                  </w:pPr>
                </w:p>
              </w:tc>
              <w:tc>
                <w:tcPr>
                  <w:tcW w:w="1567" w:type="dxa"/>
                  <w:tcMar>
                    <w:left w:w="28" w:type="dxa"/>
                    <w:right w:w="28" w:type="dxa"/>
                  </w:tcMar>
                </w:tcPr>
                <w:p w14:paraId="2EE8FA4E" w14:textId="77777777" w:rsidR="00A14FD3" w:rsidRPr="00A45B48" w:rsidRDefault="00A14FD3" w:rsidP="00EB15C2">
                  <w:pPr>
                    <w:ind w:right="206"/>
                    <w:rPr>
                      <w:rFonts w:cs="Arial"/>
                      <w:sz w:val="22"/>
                      <w:szCs w:val="22"/>
                    </w:rPr>
                  </w:pPr>
                  <w:r w:rsidRPr="00A45B48">
                    <w:rPr>
                      <w:rFonts w:cs="Arial"/>
                      <w:sz w:val="22"/>
                      <w:szCs w:val="22"/>
                    </w:rPr>
                    <w:t>2</w:t>
                  </w:r>
                </w:p>
              </w:tc>
              <w:tc>
                <w:tcPr>
                  <w:tcW w:w="1884" w:type="dxa"/>
                  <w:tcMar>
                    <w:left w:w="28" w:type="dxa"/>
                    <w:right w:w="28" w:type="dxa"/>
                  </w:tcMar>
                </w:tcPr>
                <w:p w14:paraId="3AD74EFD" w14:textId="77777777" w:rsidR="00A14FD3" w:rsidRPr="00A45B48" w:rsidRDefault="00A14FD3" w:rsidP="00EB15C2">
                  <w:pPr>
                    <w:ind w:right="206"/>
                    <w:rPr>
                      <w:rFonts w:cs="Arial"/>
                      <w:sz w:val="22"/>
                      <w:szCs w:val="22"/>
                    </w:rPr>
                  </w:pPr>
                  <w:r w:rsidRPr="00A45B48">
                    <w:rPr>
                      <w:rFonts w:cs="Arial"/>
                      <w:sz w:val="22"/>
                      <w:szCs w:val="22"/>
                    </w:rPr>
                    <w:t>£21.50</w:t>
                  </w:r>
                </w:p>
              </w:tc>
            </w:tr>
            <w:tr w:rsidR="00A14FD3" w:rsidRPr="00A45B48" w14:paraId="39FBC106" w14:textId="77777777" w:rsidTr="79EA2E33">
              <w:trPr>
                <w:jc w:val="center"/>
              </w:trPr>
              <w:tc>
                <w:tcPr>
                  <w:tcW w:w="1696" w:type="dxa"/>
                  <w:tcMar>
                    <w:left w:w="28" w:type="dxa"/>
                    <w:right w:w="28" w:type="dxa"/>
                  </w:tcMar>
                </w:tcPr>
                <w:p w14:paraId="5E235873" w14:textId="77777777" w:rsidR="00A14FD3" w:rsidRPr="00A45B48" w:rsidRDefault="00A14FD3" w:rsidP="00EB15C2">
                  <w:pPr>
                    <w:ind w:right="206"/>
                    <w:rPr>
                      <w:rFonts w:cs="Arial"/>
                      <w:sz w:val="22"/>
                      <w:szCs w:val="22"/>
                    </w:rPr>
                  </w:pPr>
                </w:p>
              </w:tc>
              <w:tc>
                <w:tcPr>
                  <w:tcW w:w="1567" w:type="dxa"/>
                  <w:tcMar>
                    <w:left w:w="28" w:type="dxa"/>
                    <w:right w:w="28" w:type="dxa"/>
                  </w:tcMar>
                </w:tcPr>
                <w:p w14:paraId="0D050CDF" w14:textId="77777777" w:rsidR="00A14FD3" w:rsidRPr="00A45B48" w:rsidRDefault="00A14FD3" w:rsidP="00EB15C2">
                  <w:pPr>
                    <w:ind w:right="206"/>
                    <w:rPr>
                      <w:rFonts w:cs="Arial"/>
                      <w:sz w:val="22"/>
                      <w:szCs w:val="22"/>
                    </w:rPr>
                  </w:pPr>
                  <w:r w:rsidRPr="00A45B48">
                    <w:rPr>
                      <w:rFonts w:cs="Arial"/>
                      <w:sz w:val="22"/>
                      <w:szCs w:val="22"/>
                    </w:rPr>
                    <w:t>3</w:t>
                  </w:r>
                </w:p>
              </w:tc>
              <w:tc>
                <w:tcPr>
                  <w:tcW w:w="1884" w:type="dxa"/>
                  <w:tcMar>
                    <w:left w:w="28" w:type="dxa"/>
                    <w:right w:w="28" w:type="dxa"/>
                  </w:tcMar>
                </w:tcPr>
                <w:p w14:paraId="15CB795E" w14:textId="77777777" w:rsidR="00A14FD3" w:rsidRPr="00A45B48" w:rsidRDefault="00A14FD3" w:rsidP="00EB15C2">
                  <w:pPr>
                    <w:ind w:right="206"/>
                    <w:rPr>
                      <w:rFonts w:cs="Arial"/>
                      <w:sz w:val="22"/>
                      <w:szCs w:val="22"/>
                    </w:rPr>
                  </w:pPr>
                  <w:r w:rsidRPr="00A45B48">
                    <w:rPr>
                      <w:rFonts w:cs="Arial"/>
                      <w:sz w:val="22"/>
                      <w:szCs w:val="22"/>
                    </w:rPr>
                    <w:t>£32.25</w:t>
                  </w:r>
                </w:p>
              </w:tc>
            </w:tr>
            <w:tr w:rsidR="00A14FD3" w:rsidRPr="00A45B48" w14:paraId="38A83B22" w14:textId="77777777" w:rsidTr="79EA2E33">
              <w:trPr>
                <w:jc w:val="center"/>
              </w:trPr>
              <w:tc>
                <w:tcPr>
                  <w:tcW w:w="1696" w:type="dxa"/>
                  <w:tcMar>
                    <w:left w:w="28" w:type="dxa"/>
                    <w:right w:w="28" w:type="dxa"/>
                  </w:tcMar>
                </w:tcPr>
                <w:p w14:paraId="0A28CDA9" w14:textId="77777777" w:rsidR="00A14FD3" w:rsidRPr="00A45B48" w:rsidRDefault="00A14FD3" w:rsidP="00EB15C2">
                  <w:pPr>
                    <w:ind w:right="206"/>
                    <w:rPr>
                      <w:rFonts w:cs="Arial"/>
                      <w:sz w:val="22"/>
                      <w:szCs w:val="22"/>
                    </w:rPr>
                  </w:pPr>
                </w:p>
              </w:tc>
              <w:tc>
                <w:tcPr>
                  <w:tcW w:w="1567" w:type="dxa"/>
                  <w:tcMar>
                    <w:left w:w="28" w:type="dxa"/>
                    <w:right w:w="28" w:type="dxa"/>
                  </w:tcMar>
                </w:tcPr>
                <w:p w14:paraId="5A669500" w14:textId="77777777" w:rsidR="00A14FD3" w:rsidRPr="00A45B48" w:rsidRDefault="00A14FD3" w:rsidP="00EB15C2">
                  <w:pPr>
                    <w:ind w:right="206"/>
                    <w:rPr>
                      <w:rFonts w:cs="Arial"/>
                      <w:sz w:val="22"/>
                      <w:szCs w:val="22"/>
                    </w:rPr>
                  </w:pPr>
                  <w:r w:rsidRPr="00A45B48">
                    <w:rPr>
                      <w:rFonts w:cs="Arial"/>
                      <w:sz w:val="22"/>
                      <w:szCs w:val="22"/>
                    </w:rPr>
                    <w:t>4</w:t>
                  </w:r>
                </w:p>
              </w:tc>
              <w:tc>
                <w:tcPr>
                  <w:tcW w:w="1884" w:type="dxa"/>
                  <w:tcMar>
                    <w:left w:w="28" w:type="dxa"/>
                    <w:right w:w="28" w:type="dxa"/>
                  </w:tcMar>
                </w:tcPr>
                <w:p w14:paraId="2C6EFB37" w14:textId="77777777" w:rsidR="00A14FD3" w:rsidRPr="00A45B48" w:rsidRDefault="00A14FD3" w:rsidP="00EB15C2">
                  <w:pPr>
                    <w:ind w:right="206"/>
                    <w:rPr>
                      <w:rFonts w:cs="Arial"/>
                      <w:sz w:val="22"/>
                      <w:szCs w:val="22"/>
                    </w:rPr>
                  </w:pPr>
                  <w:r w:rsidRPr="00A45B48">
                    <w:rPr>
                      <w:rFonts w:cs="Arial"/>
                      <w:sz w:val="22"/>
                      <w:szCs w:val="22"/>
                    </w:rPr>
                    <w:t>£43.00</w:t>
                  </w:r>
                </w:p>
              </w:tc>
            </w:tr>
            <w:tr w:rsidR="00A14FD3" w:rsidRPr="00A45B48" w14:paraId="7F716094" w14:textId="77777777" w:rsidTr="79EA2E33">
              <w:trPr>
                <w:jc w:val="center"/>
              </w:trPr>
              <w:tc>
                <w:tcPr>
                  <w:tcW w:w="1696" w:type="dxa"/>
                  <w:tcMar>
                    <w:left w:w="28" w:type="dxa"/>
                    <w:right w:w="28" w:type="dxa"/>
                  </w:tcMar>
                </w:tcPr>
                <w:p w14:paraId="28F14C23" w14:textId="77777777" w:rsidR="00A14FD3" w:rsidRPr="00A45B48" w:rsidRDefault="00A14FD3" w:rsidP="00EB15C2">
                  <w:pPr>
                    <w:ind w:right="206"/>
                    <w:rPr>
                      <w:rFonts w:cs="Arial"/>
                      <w:sz w:val="22"/>
                      <w:szCs w:val="22"/>
                    </w:rPr>
                  </w:pPr>
                </w:p>
              </w:tc>
              <w:tc>
                <w:tcPr>
                  <w:tcW w:w="1567" w:type="dxa"/>
                  <w:tcMar>
                    <w:left w:w="28" w:type="dxa"/>
                    <w:right w:w="28" w:type="dxa"/>
                  </w:tcMar>
                </w:tcPr>
                <w:p w14:paraId="4C02AAD0" w14:textId="77777777" w:rsidR="00A14FD3" w:rsidRPr="00A45B48" w:rsidRDefault="00A14FD3" w:rsidP="00EB15C2">
                  <w:pPr>
                    <w:ind w:right="206"/>
                    <w:rPr>
                      <w:rFonts w:cs="Arial"/>
                      <w:sz w:val="22"/>
                      <w:szCs w:val="22"/>
                    </w:rPr>
                  </w:pPr>
                  <w:r w:rsidRPr="00A45B48">
                    <w:rPr>
                      <w:rFonts w:cs="Arial"/>
                      <w:sz w:val="22"/>
                      <w:szCs w:val="22"/>
                    </w:rPr>
                    <w:t>5</w:t>
                  </w:r>
                </w:p>
              </w:tc>
              <w:tc>
                <w:tcPr>
                  <w:tcW w:w="1884" w:type="dxa"/>
                  <w:tcMar>
                    <w:left w:w="28" w:type="dxa"/>
                    <w:right w:w="28" w:type="dxa"/>
                  </w:tcMar>
                </w:tcPr>
                <w:p w14:paraId="1D5FCE13" w14:textId="77777777" w:rsidR="00A14FD3" w:rsidRPr="00A45B48" w:rsidRDefault="00A14FD3" w:rsidP="00EB15C2">
                  <w:pPr>
                    <w:ind w:right="206"/>
                    <w:rPr>
                      <w:rFonts w:cs="Arial"/>
                      <w:sz w:val="22"/>
                      <w:szCs w:val="22"/>
                    </w:rPr>
                  </w:pPr>
                  <w:r w:rsidRPr="00A45B48">
                    <w:rPr>
                      <w:rFonts w:cs="Arial"/>
                      <w:sz w:val="22"/>
                      <w:szCs w:val="22"/>
                    </w:rPr>
                    <w:t>£53.75</w:t>
                  </w:r>
                </w:p>
              </w:tc>
            </w:tr>
            <w:tr w:rsidR="00A14FD3" w:rsidRPr="00A45B48" w14:paraId="1C9349D1" w14:textId="77777777" w:rsidTr="79EA2E33">
              <w:trPr>
                <w:jc w:val="center"/>
              </w:trPr>
              <w:tc>
                <w:tcPr>
                  <w:tcW w:w="1696" w:type="dxa"/>
                  <w:tcMar>
                    <w:left w:w="28" w:type="dxa"/>
                    <w:right w:w="28" w:type="dxa"/>
                  </w:tcMar>
                </w:tcPr>
                <w:p w14:paraId="3B92F804" w14:textId="77777777" w:rsidR="00A14FD3" w:rsidRPr="00A45B48" w:rsidRDefault="00A14FD3" w:rsidP="00EB15C2">
                  <w:pPr>
                    <w:ind w:right="206"/>
                    <w:rPr>
                      <w:rFonts w:cs="Arial"/>
                      <w:sz w:val="22"/>
                      <w:szCs w:val="22"/>
                    </w:rPr>
                  </w:pPr>
                </w:p>
              </w:tc>
              <w:tc>
                <w:tcPr>
                  <w:tcW w:w="1567" w:type="dxa"/>
                  <w:tcMar>
                    <w:left w:w="28" w:type="dxa"/>
                    <w:right w:w="28" w:type="dxa"/>
                  </w:tcMar>
                </w:tcPr>
                <w:p w14:paraId="10417AD0" w14:textId="77777777" w:rsidR="00A14FD3" w:rsidRPr="00A45B48" w:rsidRDefault="00A14FD3" w:rsidP="00EB15C2">
                  <w:pPr>
                    <w:ind w:right="206"/>
                    <w:rPr>
                      <w:rFonts w:cs="Arial"/>
                      <w:sz w:val="22"/>
                      <w:szCs w:val="22"/>
                    </w:rPr>
                  </w:pPr>
                  <w:r w:rsidRPr="00A45B48">
                    <w:rPr>
                      <w:rFonts w:cs="Arial"/>
                      <w:sz w:val="22"/>
                      <w:szCs w:val="22"/>
                    </w:rPr>
                    <w:t>6</w:t>
                  </w:r>
                </w:p>
              </w:tc>
              <w:tc>
                <w:tcPr>
                  <w:tcW w:w="1884" w:type="dxa"/>
                  <w:tcMar>
                    <w:left w:w="28" w:type="dxa"/>
                    <w:right w:w="28" w:type="dxa"/>
                  </w:tcMar>
                </w:tcPr>
                <w:p w14:paraId="3B112A5F" w14:textId="77777777" w:rsidR="00A14FD3" w:rsidRPr="00A45B48" w:rsidRDefault="00A14FD3" w:rsidP="00EB15C2">
                  <w:pPr>
                    <w:ind w:right="206"/>
                    <w:rPr>
                      <w:rFonts w:cs="Arial"/>
                      <w:sz w:val="22"/>
                      <w:szCs w:val="22"/>
                    </w:rPr>
                  </w:pPr>
                  <w:r w:rsidRPr="00A45B48">
                    <w:rPr>
                      <w:rFonts w:cs="Arial"/>
                      <w:sz w:val="22"/>
                      <w:szCs w:val="22"/>
                    </w:rPr>
                    <w:t>£64.50</w:t>
                  </w:r>
                </w:p>
              </w:tc>
            </w:tr>
            <w:tr w:rsidR="00A14FD3" w:rsidRPr="00A45B48" w14:paraId="5F887096" w14:textId="77777777" w:rsidTr="79EA2E33">
              <w:trPr>
                <w:jc w:val="center"/>
              </w:trPr>
              <w:tc>
                <w:tcPr>
                  <w:tcW w:w="1696" w:type="dxa"/>
                  <w:tcMar>
                    <w:left w:w="28" w:type="dxa"/>
                    <w:right w:w="28" w:type="dxa"/>
                  </w:tcMar>
                </w:tcPr>
                <w:p w14:paraId="59839F75" w14:textId="77777777" w:rsidR="00A14FD3" w:rsidRPr="00A45B48" w:rsidRDefault="00A14FD3" w:rsidP="00EB15C2">
                  <w:pPr>
                    <w:ind w:right="206"/>
                    <w:rPr>
                      <w:rFonts w:cs="Arial"/>
                      <w:sz w:val="22"/>
                      <w:szCs w:val="22"/>
                    </w:rPr>
                  </w:pPr>
                </w:p>
              </w:tc>
              <w:tc>
                <w:tcPr>
                  <w:tcW w:w="1567" w:type="dxa"/>
                  <w:tcMar>
                    <w:left w:w="28" w:type="dxa"/>
                    <w:right w:w="28" w:type="dxa"/>
                  </w:tcMar>
                </w:tcPr>
                <w:p w14:paraId="29891EC0" w14:textId="77777777" w:rsidR="00A14FD3" w:rsidRPr="00A45B48" w:rsidRDefault="00A14FD3" w:rsidP="00EB15C2">
                  <w:pPr>
                    <w:ind w:right="206"/>
                    <w:rPr>
                      <w:rFonts w:cs="Arial"/>
                      <w:sz w:val="22"/>
                      <w:szCs w:val="22"/>
                    </w:rPr>
                  </w:pPr>
                  <w:r w:rsidRPr="00A45B48">
                    <w:rPr>
                      <w:rFonts w:cs="Arial"/>
                      <w:sz w:val="22"/>
                      <w:szCs w:val="22"/>
                    </w:rPr>
                    <w:t>7</w:t>
                  </w:r>
                </w:p>
              </w:tc>
              <w:tc>
                <w:tcPr>
                  <w:tcW w:w="1884" w:type="dxa"/>
                  <w:tcMar>
                    <w:left w:w="28" w:type="dxa"/>
                    <w:right w:w="28" w:type="dxa"/>
                  </w:tcMar>
                </w:tcPr>
                <w:p w14:paraId="0C6D7E06" w14:textId="77777777" w:rsidR="00A14FD3" w:rsidRPr="00A45B48" w:rsidRDefault="00A14FD3" w:rsidP="00EB15C2">
                  <w:pPr>
                    <w:ind w:right="206"/>
                    <w:rPr>
                      <w:rFonts w:cs="Arial"/>
                      <w:sz w:val="22"/>
                      <w:szCs w:val="22"/>
                    </w:rPr>
                  </w:pPr>
                  <w:r w:rsidRPr="00A45B48">
                    <w:rPr>
                      <w:rFonts w:cs="Arial"/>
                      <w:sz w:val="22"/>
                      <w:szCs w:val="22"/>
                    </w:rPr>
                    <w:t>£75.25</w:t>
                  </w:r>
                </w:p>
              </w:tc>
            </w:tr>
          </w:tbl>
          <w:p w14:paraId="366F788D" w14:textId="77777777" w:rsidR="00B96904" w:rsidRPr="00A45B48" w:rsidRDefault="00B96904" w:rsidP="00EB15C2">
            <w:pPr>
              <w:ind w:right="206"/>
              <w:rPr>
                <w:rFonts w:cs="Arial"/>
                <w:sz w:val="22"/>
                <w:szCs w:val="22"/>
              </w:rPr>
            </w:pPr>
          </w:p>
        </w:tc>
      </w:tr>
    </w:tbl>
    <w:p w14:paraId="1250C3CA" w14:textId="77777777" w:rsidR="00E94A4D" w:rsidRDefault="00E94A4D" w:rsidP="00AD1972">
      <w:pPr>
        <w:pStyle w:val="Part"/>
        <w:rPr>
          <w:sz w:val="20"/>
          <w:szCs w:val="20"/>
          <w:u w:val="single"/>
        </w:rPr>
      </w:pPr>
    </w:p>
    <w:sectPr w:rsidR="00E94A4D" w:rsidSect="002824D3">
      <w:footerReference w:type="default" r:id="rId2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iona Dixon" w:date="2025-08-07T14:50:00Z" w:initials="FD">
    <w:p w14:paraId="04E827B7" w14:textId="4C3D337A" w:rsidR="00256810" w:rsidRDefault="00256810">
      <w:pPr>
        <w:pStyle w:val="CommentText"/>
      </w:pPr>
      <w:r>
        <w:rPr>
          <w:rStyle w:val="CommentReference"/>
        </w:rPr>
        <w:annotationRef/>
      </w:r>
      <w:r w:rsidRPr="17F33EE2">
        <w:t>I have removed the payment for once / week as no scripts are written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E82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24332" w16cex:dateUtc="2025-08-07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E827B7" w16cid:durableId="63E24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6546" w14:textId="77777777" w:rsidR="00B34609" w:rsidRDefault="00B34609" w:rsidP="00B1400C">
      <w:r>
        <w:separator/>
      </w:r>
    </w:p>
  </w:endnote>
  <w:endnote w:type="continuationSeparator" w:id="0">
    <w:p w14:paraId="2BFBBEF3" w14:textId="77777777" w:rsidR="00B34609" w:rsidRDefault="00B34609" w:rsidP="00B1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250646"/>
      <w:docPartObj>
        <w:docPartGallery w:val="Page Numbers (Bottom of Page)"/>
        <w:docPartUnique/>
      </w:docPartObj>
    </w:sdtPr>
    <w:sdtEndPr>
      <w:rPr>
        <w:noProof/>
      </w:rPr>
    </w:sdtEndPr>
    <w:sdtContent>
      <w:p w14:paraId="6FDDEB03" w14:textId="60FCD025" w:rsidR="00B34609" w:rsidRDefault="00B34609">
        <w:pPr>
          <w:pStyle w:val="Footer"/>
          <w:jc w:val="right"/>
        </w:pPr>
        <w:r>
          <w:fldChar w:fldCharType="begin"/>
        </w:r>
        <w:r>
          <w:instrText xml:space="preserve"> PAGE   \* MERGEFORMAT </w:instrText>
        </w:r>
        <w:r>
          <w:fldChar w:fldCharType="separate"/>
        </w:r>
        <w:r w:rsidR="008E5E88">
          <w:rPr>
            <w:noProof/>
          </w:rPr>
          <w:t>4</w:t>
        </w:r>
        <w:r>
          <w:rPr>
            <w:noProof/>
          </w:rPr>
          <w:fldChar w:fldCharType="end"/>
        </w:r>
      </w:p>
    </w:sdtContent>
  </w:sdt>
  <w:p w14:paraId="2F8DB72B" w14:textId="77777777" w:rsidR="00B34609" w:rsidRDefault="00B3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E73E" w14:textId="77777777" w:rsidR="00B34609" w:rsidRDefault="00B34609" w:rsidP="00B1400C">
      <w:r>
        <w:separator/>
      </w:r>
    </w:p>
  </w:footnote>
  <w:footnote w:type="continuationSeparator" w:id="0">
    <w:p w14:paraId="7124C4AE" w14:textId="77777777" w:rsidR="00B34609" w:rsidRDefault="00B34609" w:rsidP="00B1400C">
      <w:r>
        <w:continuationSeparator/>
      </w:r>
    </w:p>
  </w:footnote>
  <w:footnote w:id="1">
    <w:p w14:paraId="7F0C08A6" w14:textId="341F97F9" w:rsidR="79EA2E33" w:rsidRDefault="79EA2E33" w:rsidP="79EA2E33">
      <w:pPr>
        <w:pStyle w:val="FootnoteText"/>
      </w:pPr>
      <w:r w:rsidRPr="79EA2E33">
        <w:rPr>
          <w:rStyle w:val="FootnoteReference"/>
        </w:rPr>
        <w:footnoteRef/>
      </w:r>
      <w:r>
        <w:t xml:space="preserve"> </w:t>
      </w:r>
      <w:hyperlink r:id="rId1">
        <w:r w:rsidRPr="79EA2E33">
          <w:rPr>
            <w:rStyle w:val="Hyperlink"/>
            <w:rFonts w:eastAsia="Arial" w:cs="Arial"/>
          </w:rPr>
          <w:t>Joint health and wellbeing strategy 2025-28 | North Somerset Council</w:t>
        </w:r>
      </w:hyperlink>
    </w:p>
  </w:footnote>
  <w:footnote w:id="2">
    <w:p w14:paraId="1B4EBAEB" w14:textId="1F75050A" w:rsidR="79EA2E33" w:rsidRDefault="79EA2E33" w:rsidP="79EA2E33">
      <w:pPr>
        <w:pStyle w:val="FootnoteText"/>
      </w:pPr>
      <w:r w:rsidRPr="79EA2E33">
        <w:rPr>
          <w:rStyle w:val="FootnoteReference"/>
        </w:rPr>
        <w:footnoteRef/>
      </w:r>
      <w:r>
        <w:t xml:space="preserve"> </w:t>
      </w:r>
      <w:hyperlink r:id="rId2">
        <w:r w:rsidRPr="79EA2E33">
          <w:rPr>
            <w:rStyle w:val="Hyperlink"/>
            <w:rFonts w:ascii="Segoe UI" w:eastAsia="Segoe UI" w:hAnsi="Segoe UI" w:cs="Segoe UI"/>
            <w:sz w:val="18"/>
            <w:szCs w:val="18"/>
          </w:rPr>
          <w:t>https://n-somerset.gov.uk/sites/default/files/2024-04/corporate%20plan%202024-28.pdf</w:t>
        </w:r>
      </w:hyperlink>
      <w:r w:rsidRPr="79EA2E33">
        <w:rPr>
          <w:rFonts w:ascii="Segoe UI" w:eastAsia="Segoe UI" w:hAnsi="Segoe UI" w:cs="Segoe UI"/>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29E"/>
    <w:multiLevelType w:val="hybridMultilevel"/>
    <w:tmpl w:val="CC9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458D9"/>
    <w:multiLevelType w:val="hybridMultilevel"/>
    <w:tmpl w:val="F3EC43BC"/>
    <w:lvl w:ilvl="0" w:tplc="04090001">
      <w:start w:val="1"/>
      <w:numFmt w:val="bullet"/>
      <w:lvlText w:val=""/>
      <w:lvlJc w:val="left"/>
      <w:pPr>
        <w:tabs>
          <w:tab w:val="num" w:pos="502"/>
        </w:tabs>
        <w:ind w:left="502"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AA32EAE"/>
    <w:multiLevelType w:val="hybridMultilevel"/>
    <w:tmpl w:val="26EA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F0417"/>
    <w:multiLevelType w:val="hybridMultilevel"/>
    <w:tmpl w:val="2760F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2117B"/>
    <w:multiLevelType w:val="hybridMultilevel"/>
    <w:tmpl w:val="9C28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13A96"/>
    <w:multiLevelType w:val="hybridMultilevel"/>
    <w:tmpl w:val="9108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97D5A"/>
    <w:multiLevelType w:val="hybridMultilevel"/>
    <w:tmpl w:val="5CCEB7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3066508"/>
    <w:multiLevelType w:val="hybridMultilevel"/>
    <w:tmpl w:val="E8BA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37672"/>
    <w:multiLevelType w:val="hybridMultilevel"/>
    <w:tmpl w:val="6D328F0C"/>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336255"/>
    <w:multiLevelType w:val="hybridMultilevel"/>
    <w:tmpl w:val="46FA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F347B"/>
    <w:multiLevelType w:val="hybridMultilevel"/>
    <w:tmpl w:val="1AEE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61A6A"/>
    <w:multiLevelType w:val="hybridMultilevel"/>
    <w:tmpl w:val="EB8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408DC"/>
    <w:multiLevelType w:val="hybridMultilevel"/>
    <w:tmpl w:val="F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26E10"/>
    <w:multiLevelType w:val="hybridMultilevel"/>
    <w:tmpl w:val="4004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96152"/>
    <w:multiLevelType w:val="hybridMultilevel"/>
    <w:tmpl w:val="878C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D7B14"/>
    <w:multiLevelType w:val="hybridMultilevel"/>
    <w:tmpl w:val="0D14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C758F"/>
    <w:multiLevelType w:val="hybridMultilevel"/>
    <w:tmpl w:val="756E8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005CA"/>
    <w:multiLevelType w:val="hybridMultilevel"/>
    <w:tmpl w:val="6FF44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A3D92"/>
    <w:multiLevelType w:val="hybridMultilevel"/>
    <w:tmpl w:val="840A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BF4499"/>
    <w:multiLevelType w:val="hybridMultilevel"/>
    <w:tmpl w:val="B56ED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32E8D"/>
    <w:multiLevelType w:val="multilevel"/>
    <w:tmpl w:val="484A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541C0"/>
    <w:multiLevelType w:val="multilevel"/>
    <w:tmpl w:val="361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A61FAC"/>
    <w:multiLevelType w:val="hybridMultilevel"/>
    <w:tmpl w:val="73C6D8D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85D7222"/>
    <w:multiLevelType w:val="hybridMultilevel"/>
    <w:tmpl w:val="D8D8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F10BD"/>
    <w:multiLevelType w:val="hybridMultilevel"/>
    <w:tmpl w:val="1988DB9E"/>
    <w:lvl w:ilvl="0" w:tplc="C666F1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D6DE2"/>
    <w:multiLevelType w:val="hybridMultilevel"/>
    <w:tmpl w:val="03321604"/>
    <w:lvl w:ilvl="0" w:tplc="D8688A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764CC"/>
    <w:multiLevelType w:val="hybridMultilevel"/>
    <w:tmpl w:val="921491BC"/>
    <w:lvl w:ilvl="0" w:tplc="4FA6EFAC">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713D55"/>
    <w:multiLevelType w:val="hybridMultilevel"/>
    <w:tmpl w:val="84EAA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561AE"/>
    <w:multiLevelType w:val="hybridMultilevel"/>
    <w:tmpl w:val="11CA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305A3"/>
    <w:multiLevelType w:val="hybridMultilevel"/>
    <w:tmpl w:val="D274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21354">
    <w:abstractNumId w:val="4"/>
  </w:num>
  <w:num w:numId="2" w16cid:durableId="287932122">
    <w:abstractNumId w:val="3"/>
  </w:num>
  <w:num w:numId="3" w16cid:durableId="598832909">
    <w:abstractNumId w:val="26"/>
  </w:num>
  <w:num w:numId="4" w16cid:durableId="310065554">
    <w:abstractNumId w:val="18"/>
  </w:num>
  <w:num w:numId="5" w16cid:durableId="657147220">
    <w:abstractNumId w:val="23"/>
  </w:num>
  <w:num w:numId="6" w16cid:durableId="1692955098">
    <w:abstractNumId w:val="13"/>
  </w:num>
  <w:num w:numId="7" w16cid:durableId="492962119">
    <w:abstractNumId w:val="0"/>
  </w:num>
  <w:num w:numId="8" w16cid:durableId="1659068825">
    <w:abstractNumId w:val="10"/>
  </w:num>
  <w:num w:numId="9" w16cid:durableId="521213588">
    <w:abstractNumId w:val="12"/>
  </w:num>
  <w:num w:numId="10" w16cid:durableId="1665826">
    <w:abstractNumId w:val="29"/>
  </w:num>
  <w:num w:numId="11" w16cid:durableId="1568495192">
    <w:abstractNumId w:val="9"/>
  </w:num>
  <w:num w:numId="12" w16cid:durableId="1184369572">
    <w:abstractNumId w:val="17"/>
  </w:num>
  <w:num w:numId="13" w16cid:durableId="466704114">
    <w:abstractNumId w:val="24"/>
  </w:num>
  <w:num w:numId="14" w16cid:durableId="871965512">
    <w:abstractNumId w:val="7"/>
  </w:num>
  <w:num w:numId="15" w16cid:durableId="275873644">
    <w:abstractNumId w:val="14"/>
  </w:num>
  <w:num w:numId="16" w16cid:durableId="1661496206">
    <w:abstractNumId w:val="20"/>
  </w:num>
  <w:num w:numId="17" w16cid:durableId="1917670747">
    <w:abstractNumId w:val="2"/>
  </w:num>
  <w:num w:numId="18" w16cid:durableId="2038038671">
    <w:abstractNumId w:val="16"/>
  </w:num>
  <w:num w:numId="19" w16cid:durableId="743261071">
    <w:abstractNumId w:val="27"/>
  </w:num>
  <w:num w:numId="20" w16cid:durableId="2005742533">
    <w:abstractNumId w:val="11"/>
  </w:num>
  <w:num w:numId="21" w16cid:durableId="1309826151">
    <w:abstractNumId w:val="25"/>
  </w:num>
  <w:num w:numId="22" w16cid:durableId="1889488706">
    <w:abstractNumId w:val="6"/>
  </w:num>
  <w:num w:numId="23" w16cid:durableId="2004115936">
    <w:abstractNumId w:val="8"/>
  </w:num>
  <w:num w:numId="24" w16cid:durableId="1363170937">
    <w:abstractNumId w:val="22"/>
  </w:num>
  <w:num w:numId="25" w16cid:durableId="137302812">
    <w:abstractNumId w:val="5"/>
  </w:num>
  <w:num w:numId="26" w16cid:durableId="1357999964">
    <w:abstractNumId w:val="1"/>
  </w:num>
  <w:num w:numId="27" w16cid:durableId="1124538100">
    <w:abstractNumId w:val="19"/>
  </w:num>
  <w:num w:numId="28" w16cid:durableId="375155181">
    <w:abstractNumId w:val="28"/>
  </w:num>
  <w:num w:numId="29" w16cid:durableId="380515973">
    <w:abstractNumId w:val="15"/>
  </w:num>
  <w:num w:numId="30" w16cid:durableId="152463748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ona Dixon">
    <w15:presenceInfo w15:providerId="AD" w15:userId="S::fiona.dixon@n-somerset.gov.uk::9629f2e0-2a46-4804-b6ac-7ee4a62069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4D"/>
    <w:rsid w:val="00006681"/>
    <w:rsid w:val="00013588"/>
    <w:rsid w:val="000379BB"/>
    <w:rsid w:val="000651B9"/>
    <w:rsid w:val="00070F5E"/>
    <w:rsid w:val="000928EF"/>
    <w:rsid w:val="0009682A"/>
    <w:rsid w:val="000A0DCB"/>
    <w:rsid w:val="000A2E1C"/>
    <w:rsid w:val="000A6480"/>
    <w:rsid w:val="000A6A4C"/>
    <w:rsid w:val="000B011F"/>
    <w:rsid w:val="000D3BAF"/>
    <w:rsid w:val="000D63E8"/>
    <w:rsid w:val="000D6583"/>
    <w:rsid w:val="000E0B64"/>
    <w:rsid w:val="000E3604"/>
    <w:rsid w:val="0014460B"/>
    <w:rsid w:val="00152455"/>
    <w:rsid w:val="001531C6"/>
    <w:rsid w:val="00155394"/>
    <w:rsid w:val="00167DF3"/>
    <w:rsid w:val="00183E8F"/>
    <w:rsid w:val="001878A4"/>
    <w:rsid w:val="00190615"/>
    <w:rsid w:val="001C0A38"/>
    <w:rsid w:val="001C1E15"/>
    <w:rsid w:val="001C2001"/>
    <w:rsid w:val="001C444B"/>
    <w:rsid w:val="001D5F1B"/>
    <w:rsid w:val="001E234F"/>
    <w:rsid w:val="001F568C"/>
    <w:rsid w:val="0021141C"/>
    <w:rsid w:val="00216A59"/>
    <w:rsid w:val="00231DC9"/>
    <w:rsid w:val="00256810"/>
    <w:rsid w:val="002824D3"/>
    <w:rsid w:val="0028297F"/>
    <w:rsid w:val="00284D98"/>
    <w:rsid w:val="002A63D5"/>
    <w:rsid w:val="002A758C"/>
    <w:rsid w:val="002C060B"/>
    <w:rsid w:val="002D6AD2"/>
    <w:rsid w:val="002E38D8"/>
    <w:rsid w:val="002E3B03"/>
    <w:rsid w:val="002E5974"/>
    <w:rsid w:val="002F0BBF"/>
    <w:rsid w:val="00304232"/>
    <w:rsid w:val="00310AB3"/>
    <w:rsid w:val="00316943"/>
    <w:rsid w:val="00316EB2"/>
    <w:rsid w:val="00317F15"/>
    <w:rsid w:val="00320385"/>
    <w:rsid w:val="003361E3"/>
    <w:rsid w:val="0034713E"/>
    <w:rsid w:val="0034773C"/>
    <w:rsid w:val="003646E1"/>
    <w:rsid w:val="00373671"/>
    <w:rsid w:val="00383545"/>
    <w:rsid w:val="003A2DF3"/>
    <w:rsid w:val="003A4B79"/>
    <w:rsid w:val="003B0C69"/>
    <w:rsid w:val="003C6505"/>
    <w:rsid w:val="00402B33"/>
    <w:rsid w:val="00406999"/>
    <w:rsid w:val="00413064"/>
    <w:rsid w:val="00417E7D"/>
    <w:rsid w:val="00421D1D"/>
    <w:rsid w:val="00452192"/>
    <w:rsid w:val="00486692"/>
    <w:rsid w:val="004910AB"/>
    <w:rsid w:val="004A5BAF"/>
    <w:rsid w:val="004B024F"/>
    <w:rsid w:val="004B1CDA"/>
    <w:rsid w:val="004C2B02"/>
    <w:rsid w:val="004D5D4E"/>
    <w:rsid w:val="004F7C58"/>
    <w:rsid w:val="00500C98"/>
    <w:rsid w:val="00501744"/>
    <w:rsid w:val="00503FD5"/>
    <w:rsid w:val="00512F0B"/>
    <w:rsid w:val="005207BE"/>
    <w:rsid w:val="00550820"/>
    <w:rsid w:val="00557010"/>
    <w:rsid w:val="00566EEE"/>
    <w:rsid w:val="005819E9"/>
    <w:rsid w:val="005869D0"/>
    <w:rsid w:val="00586A59"/>
    <w:rsid w:val="00591EAA"/>
    <w:rsid w:val="005961D4"/>
    <w:rsid w:val="005A3CC4"/>
    <w:rsid w:val="005D44C5"/>
    <w:rsid w:val="005E2E0B"/>
    <w:rsid w:val="005E4C0A"/>
    <w:rsid w:val="00604774"/>
    <w:rsid w:val="00606313"/>
    <w:rsid w:val="0061409C"/>
    <w:rsid w:val="006266E4"/>
    <w:rsid w:val="00631B5D"/>
    <w:rsid w:val="00687227"/>
    <w:rsid w:val="00690DAC"/>
    <w:rsid w:val="006A6ECE"/>
    <w:rsid w:val="006C0DD4"/>
    <w:rsid w:val="006D133C"/>
    <w:rsid w:val="006E2E67"/>
    <w:rsid w:val="006E4F75"/>
    <w:rsid w:val="006E64B6"/>
    <w:rsid w:val="006F4BD0"/>
    <w:rsid w:val="006F79E2"/>
    <w:rsid w:val="007010A4"/>
    <w:rsid w:val="0071758B"/>
    <w:rsid w:val="00720415"/>
    <w:rsid w:val="00767E95"/>
    <w:rsid w:val="00783599"/>
    <w:rsid w:val="0078753C"/>
    <w:rsid w:val="00790E18"/>
    <w:rsid w:val="007914E0"/>
    <w:rsid w:val="007B52ED"/>
    <w:rsid w:val="007B5C1A"/>
    <w:rsid w:val="007B62C5"/>
    <w:rsid w:val="007D404F"/>
    <w:rsid w:val="00822EA1"/>
    <w:rsid w:val="00832E9E"/>
    <w:rsid w:val="00836DDE"/>
    <w:rsid w:val="008643FB"/>
    <w:rsid w:val="008B3296"/>
    <w:rsid w:val="008C4D96"/>
    <w:rsid w:val="008D31E5"/>
    <w:rsid w:val="008E5E0B"/>
    <w:rsid w:val="008E5E88"/>
    <w:rsid w:val="00910A82"/>
    <w:rsid w:val="00917508"/>
    <w:rsid w:val="009264B1"/>
    <w:rsid w:val="0095072B"/>
    <w:rsid w:val="009968A6"/>
    <w:rsid w:val="009A0566"/>
    <w:rsid w:val="009A4186"/>
    <w:rsid w:val="009A54F7"/>
    <w:rsid w:val="009B2FA2"/>
    <w:rsid w:val="009B46BC"/>
    <w:rsid w:val="009C7D09"/>
    <w:rsid w:val="009D13ED"/>
    <w:rsid w:val="00A10D8A"/>
    <w:rsid w:val="00A14FD3"/>
    <w:rsid w:val="00A27716"/>
    <w:rsid w:val="00A45B48"/>
    <w:rsid w:val="00AC1871"/>
    <w:rsid w:val="00AD1972"/>
    <w:rsid w:val="00AD7DB4"/>
    <w:rsid w:val="00AE2091"/>
    <w:rsid w:val="00AE5E20"/>
    <w:rsid w:val="00B03E68"/>
    <w:rsid w:val="00B07AEB"/>
    <w:rsid w:val="00B1400C"/>
    <w:rsid w:val="00B34609"/>
    <w:rsid w:val="00B35549"/>
    <w:rsid w:val="00B74C47"/>
    <w:rsid w:val="00B80AC9"/>
    <w:rsid w:val="00B80DD1"/>
    <w:rsid w:val="00B90414"/>
    <w:rsid w:val="00B9365F"/>
    <w:rsid w:val="00B96904"/>
    <w:rsid w:val="00BA1C07"/>
    <w:rsid w:val="00BB2441"/>
    <w:rsid w:val="00BC13C9"/>
    <w:rsid w:val="00BC6983"/>
    <w:rsid w:val="00BD6DF5"/>
    <w:rsid w:val="00C427DF"/>
    <w:rsid w:val="00C5026F"/>
    <w:rsid w:val="00C5379E"/>
    <w:rsid w:val="00C85B3B"/>
    <w:rsid w:val="00C96812"/>
    <w:rsid w:val="00CA3770"/>
    <w:rsid w:val="00CD2A27"/>
    <w:rsid w:val="00CE2C5E"/>
    <w:rsid w:val="00CF33F5"/>
    <w:rsid w:val="00CF54BE"/>
    <w:rsid w:val="00D06B2F"/>
    <w:rsid w:val="00D14760"/>
    <w:rsid w:val="00D34A91"/>
    <w:rsid w:val="00D44787"/>
    <w:rsid w:val="00D44D61"/>
    <w:rsid w:val="00D64CCD"/>
    <w:rsid w:val="00D65E3D"/>
    <w:rsid w:val="00D8706F"/>
    <w:rsid w:val="00DB48F3"/>
    <w:rsid w:val="00DB677A"/>
    <w:rsid w:val="00DC3634"/>
    <w:rsid w:val="00DE21B9"/>
    <w:rsid w:val="00DF434D"/>
    <w:rsid w:val="00E21651"/>
    <w:rsid w:val="00E63841"/>
    <w:rsid w:val="00E67D49"/>
    <w:rsid w:val="00E76C5F"/>
    <w:rsid w:val="00E94A4D"/>
    <w:rsid w:val="00EB1202"/>
    <w:rsid w:val="00EB15C2"/>
    <w:rsid w:val="00EB1F60"/>
    <w:rsid w:val="00EB3CDE"/>
    <w:rsid w:val="00EE1890"/>
    <w:rsid w:val="00EF1CAF"/>
    <w:rsid w:val="00F0133A"/>
    <w:rsid w:val="00F32835"/>
    <w:rsid w:val="00F42FF9"/>
    <w:rsid w:val="00F4621F"/>
    <w:rsid w:val="00F56D89"/>
    <w:rsid w:val="00F664B5"/>
    <w:rsid w:val="00F835A9"/>
    <w:rsid w:val="00F93164"/>
    <w:rsid w:val="00F95953"/>
    <w:rsid w:val="00FB1C1C"/>
    <w:rsid w:val="00FE1E1B"/>
    <w:rsid w:val="00FE7FE1"/>
    <w:rsid w:val="00FF67D5"/>
    <w:rsid w:val="02C3CBB8"/>
    <w:rsid w:val="05EBC6FF"/>
    <w:rsid w:val="063C7451"/>
    <w:rsid w:val="0E566795"/>
    <w:rsid w:val="1861856B"/>
    <w:rsid w:val="1BA8E3DF"/>
    <w:rsid w:val="1D3E511D"/>
    <w:rsid w:val="21EC3548"/>
    <w:rsid w:val="22265CA7"/>
    <w:rsid w:val="25CDECF8"/>
    <w:rsid w:val="286C3732"/>
    <w:rsid w:val="2E5480AF"/>
    <w:rsid w:val="3814CDA6"/>
    <w:rsid w:val="3FF5C6D9"/>
    <w:rsid w:val="4EFF65AB"/>
    <w:rsid w:val="5043E2FD"/>
    <w:rsid w:val="53A0E0BC"/>
    <w:rsid w:val="54E949EF"/>
    <w:rsid w:val="56B94410"/>
    <w:rsid w:val="5B20666F"/>
    <w:rsid w:val="6935FE0C"/>
    <w:rsid w:val="724E7B9B"/>
    <w:rsid w:val="79500F10"/>
    <w:rsid w:val="79EA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8F0C90"/>
  <w15:docId w15:val="{FDC84148-33C3-4186-838E-E6954E37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A4D"/>
    <w:pPr>
      <w:suppressAutoHyphen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E94A4D"/>
    <w:pPr>
      <w:keepNext/>
      <w:outlineLvl w:val="0"/>
    </w:pPr>
    <w:rPr>
      <w:rFonts w:cs="Arial"/>
      <w:b/>
      <w:bCs/>
      <w:szCs w:val="24"/>
      <w:u w:val="single"/>
    </w:rPr>
  </w:style>
  <w:style w:type="paragraph" w:styleId="Heading2">
    <w:name w:val="heading 2"/>
    <w:basedOn w:val="Normal"/>
    <w:next w:val="Normal"/>
    <w:link w:val="Heading2Char"/>
    <w:uiPriority w:val="9"/>
    <w:semiHidden/>
    <w:unhideWhenUsed/>
    <w:qFormat/>
    <w:rsid w:val="006F4BD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669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F67D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4D"/>
    <w:rPr>
      <w:rFonts w:ascii="Arial" w:eastAsia="Times New Roman" w:hAnsi="Arial" w:cs="Arial"/>
      <w:b/>
      <w:bCs/>
      <w:sz w:val="24"/>
      <w:szCs w:val="24"/>
      <w:u w:val="single"/>
    </w:rPr>
  </w:style>
  <w:style w:type="paragraph" w:styleId="ListParagraph">
    <w:name w:val="List Paragraph"/>
    <w:basedOn w:val="Normal"/>
    <w:uiPriority w:val="34"/>
    <w:qFormat/>
    <w:rsid w:val="00E94A4D"/>
    <w:pPr>
      <w:ind w:left="720"/>
    </w:pPr>
  </w:style>
  <w:style w:type="paragraph" w:customStyle="1" w:styleId="Part">
    <w:name w:val="Part"/>
    <w:link w:val="PartChar"/>
    <w:rsid w:val="00E94A4D"/>
    <w:pPr>
      <w:widowControl w:val="0"/>
      <w:spacing w:after="0" w:line="240" w:lineRule="auto"/>
    </w:pPr>
    <w:rPr>
      <w:rFonts w:ascii="Arial" w:eastAsia="Times New Roman" w:hAnsi="Arial" w:cs="Times New Roman"/>
      <w:b/>
      <w:szCs w:val="24"/>
      <w:lang w:eastAsia="en-GB"/>
    </w:rPr>
  </w:style>
  <w:style w:type="character" w:customStyle="1" w:styleId="PartChar">
    <w:name w:val="Part Char"/>
    <w:link w:val="Part"/>
    <w:locked/>
    <w:rsid w:val="00E94A4D"/>
    <w:rPr>
      <w:rFonts w:ascii="Arial" w:eastAsia="Times New Roman" w:hAnsi="Arial" w:cs="Times New Roman"/>
      <w:b/>
      <w:szCs w:val="24"/>
      <w:lang w:eastAsia="en-GB"/>
    </w:rPr>
  </w:style>
  <w:style w:type="paragraph" w:styleId="BodyText">
    <w:name w:val="Body Text"/>
    <w:basedOn w:val="Normal"/>
    <w:link w:val="BodyTextChar"/>
    <w:rsid w:val="00E94A4D"/>
    <w:pPr>
      <w:suppressAutoHyphens w:val="0"/>
      <w:jc w:val="left"/>
    </w:pPr>
    <w:rPr>
      <w:rFonts w:eastAsia="MS ??" w:cs="Arial"/>
      <w:sz w:val="22"/>
      <w:szCs w:val="22"/>
    </w:rPr>
  </w:style>
  <w:style w:type="character" w:customStyle="1" w:styleId="BodyTextChar">
    <w:name w:val="Body Text Char"/>
    <w:basedOn w:val="DefaultParagraphFont"/>
    <w:link w:val="BodyText"/>
    <w:rsid w:val="00E94A4D"/>
    <w:rPr>
      <w:rFonts w:ascii="Arial" w:eastAsia="MS ??" w:hAnsi="Arial" w:cs="Arial"/>
    </w:rPr>
  </w:style>
  <w:style w:type="table" w:styleId="TableGrid">
    <w:name w:val="Table Grid"/>
    <w:basedOn w:val="TableNormal"/>
    <w:uiPriority w:val="39"/>
    <w:rsid w:val="00B80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C47"/>
    <w:rPr>
      <w:color w:val="0563C1" w:themeColor="hyperlink"/>
      <w:u w:val="single"/>
    </w:rPr>
  </w:style>
  <w:style w:type="character" w:customStyle="1" w:styleId="Heading4Char">
    <w:name w:val="Heading 4 Char"/>
    <w:basedOn w:val="DefaultParagraphFont"/>
    <w:link w:val="Heading4"/>
    <w:uiPriority w:val="9"/>
    <w:rsid w:val="00FF67D5"/>
    <w:rPr>
      <w:rFonts w:asciiTheme="majorHAnsi" w:eastAsiaTheme="majorEastAsia" w:hAnsiTheme="majorHAnsi" w:cstheme="majorBidi"/>
      <w:i/>
      <w:iCs/>
      <w:color w:val="2E74B5" w:themeColor="accent1" w:themeShade="BF"/>
      <w:sz w:val="24"/>
      <w:szCs w:val="20"/>
    </w:rPr>
  </w:style>
  <w:style w:type="character" w:customStyle="1" w:styleId="prod-title">
    <w:name w:val="prod-title"/>
    <w:basedOn w:val="DefaultParagraphFont"/>
    <w:rsid w:val="00836DDE"/>
  </w:style>
  <w:style w:type="character" w:styleId="FollowedHyperlink">
    <w:name w:val="FollowedHyperlink"/>
    <w:basedOn w:val="DefaultParagraphFont"/>
    <w:uiPriority w:val="99"/>
    <w:semiHidden/>
    <w:unhideWhenUsed/>
    <w:rsid w:val="00836DDE"/>
    <w:rPr>
      <w:color w:val="954F72" w:themeColor="followedHyperlink"/>
      <w:u w:val="single"/>
    </w:rPr>
  </w:style>
  <w:style w:type="character" w:styleId="Strong">
    <w:name w:val="Strong"/>
    <w:basedOn w:val="DefaultParagraphFont"/>
    <w:qFormat/>
    <w:rsid w:val="0034773C"/>
    <w:rPr>
      <w:b/>
      <w:bCs/>
    </w:rPr>
  </w:style>
  <w:style w:type="character" w:customStyle="1" w:styleId="Heading2Char">
    <w:name w:val="Heading 2 Char"/>
    <w:basedOn w:val="DefaultParagraphFont"/>
    <w:link w:val="Heading2"/>
    <w:uiPriority w:val="9"/>
    <w:semiHidden/>
    <w:rsid w:val="006F4BD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86692"/>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unhideWhenUsed/>
    <w:rsid w:val="00D8706F"/>
    <w:rPr>
      <w:sz w:val="16"/>
      <w:szCs w:val="16"/>
    </w:rPr>
  </w:style>
  <w:style w:type="paragraph" w:styleId="CommentText">
    <w:name w:val="annotation text"/>
    <w:basedOn w:val="Normal"/>
    <w:link w:val="CommentTextChar"/>
    <w:unhideWhenUsed/>
    <w:rsid w:val="00D8706F"/>
    <w:rPr>
      <w:sz w:val="20"/>
    </w:rPr>
  </w:style>
  <w:style w:type="character" w:customStyle="1" w:styleId="CommentTextChar">
    <w:name w:val="Comment Text Char"/>
    <w:basedOn w:val="DefaultParagraphFont"/>
    <w:link w:val="CommentText"/>
    <w:rsid w:val="00D8706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8706F"/>
    <w:rPr>
      <w:b/>
      <w:bCs/>
    </w:rPr>
  </w:style>
  <w:style w:type="character" w:customStyle="1" w:styleId="CommentSubjectChar">
    <w:name w:val="Comment Subject Char"/>
    <w:basedOn w:val="CommentTextChar"/>
    <w:link w:val="CommentSubject"/>
    <w:uiPriority w:val="99"/>
    <w:semiHidden/>
    <w:rsid w:val="00D8706F"/>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87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06F"/>
    <w:rPr>
      <w:rFonts w:ascii="Segoe UI" w:eastAsia="Times New Roman" w:hAnsi="Segoe UI" w:cs="Segoe UI"/>
      <w:sz w:val="18"/>
      <w:szCs w:val="18"/>
    </w:rPr>
  </w:style>
  <w:style w:type="paragraph" w:styleId="Header">
    <w:name w:val="header"/>
    <w:basedOn w:val="Normal"/>
    <w:link w:val="HeaderChar"/>
    <w:uiPriority w:val="99"/>
    <w:unhideWhenUsed/>
    <w:rsid w:val="00B1400C"/>
    <w:pPr>
      <w:tabs>
        <w:tab w:val="center" w:pos="4513"/>
        <w:tab w:val="right" w:pos="9026"/>
      </w:tabs>
    </w:pPr>
  </w:style>
  <w:style w:type="character" w:customStyle="1" w:styleId="HeaderChar">
    <w:name w:val="Header Char"/>
    <w:basedOn w:val="DefaultParagraphFont"/>
    <w:link w:val="Header"/>
    <w:uiPriority w:val="99"/>
    <w:rsid w:val="00B1400C"/>
    <w:rPr>
      <w:rFonts w:ascii="Arial" w:eastAsia="Times New Roman" w:hAnsi="Arial" w:cs="Times New Roman"/>
      <w:sz w:val="24"/>
      <w:szCs w:val="20"/>
    </w:rPr>
  </w:style>
  <w:style w:type="paragraph" w:styleId="Footer">
    <w:name w:val="footer"/>
    <w:basedOn w:val="Normal"/>
    <w:link w:val="FooterChar"/>
    <w:uiPriority w:val="99"/>
    <w:unhideWhenUsed/>
    <w:rsid w:val="00B1400C"/>
    <w:pPr>
      <w:tabs>
        <w:tab w:val="center" w:pos="4513"/>
        <w:tab w:val="right" w:pos="9026"/>
      </w:tabs>
    </w:pPr>
  </w:style>
  <w:style w:type="character" w:customStyle="1" w:styleId="FooterChar">
    <w:name w:val="Footer Char"/>
    <w:basedOn w:val="DefaultParagraphFont"/>
    <w:link w:val="Footer"/>
    <w:uiPriority w:val="99"/>
    <w:rsid w:val="00B1400C"/>
    <w:rPr>
      <w:rFonts w:ascii="Arial" w:eastAsia="Times New Roman" w:hAnsi="Arial" w:cs="Times New Roman"/>
      <w:sz w:val="24"/>
      <w:szCs w:val="20"/>
    </w:rPr>
  </w:style>
  <w:style w:type="paragraph" w:customStyle="1" w:styleId="Default">
    <w:name w:val="Default"/>
    <w:rsid w:val="00B9690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96904"/>
    <w:rPr>
      <w:color w:val="605E5C"/>
      <w:shd w:val="clear" w:color="auto" w:fill="E1DFDD"/>
    </w:rPr>
  </w:style>
  <w:style w:type="paragraph" w:styleId="NormalWeb">
    <w:name w:val="Normal (Web)"/>
    <w:basedOn w:val="Normal"/>
    <w:uiPriority w:val="99"/>
    <w:semiHidden/>
    <w:unhideWhenUsed/>
    <w:rsid w:val="00B9365F"/>
    <w:pPr>
      <w:suppressAutoHyphens w:val="0"/>
      <w:spacing w:before="100" w:beforeAutospacing="1" w:after="100" w:afterAutospacing="1"/>
      <w:jc w:val="left"/>
    </w:pPr>
    <w:rPr>
      <w:rFonts w:ascii="Times New Roman" w:hAnsi="Times New Roman"/>
      <w:szCs w:val="24"/>
      <w:lang w:eastAsia="en-GB"/>
    </w:rPr>
  </w:style>
  <w:style w:type="paragraph" w:styleId="FootnoteText">
    <w:name w:val="footnote text"/>
    <w:basedOn w:val="Normal"/>
    <w:uiPriority w:val="99"/>
    <w:semiHidden/>
    <w:unhideWhenUsed/>
    <w:rsid w:val="79EA2E33"/>
    <w:rPr>
      <w:sz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1217">
      <w:bodyDiv w:val="1"/>
      <w:marLeft w:val="0"/>
      <w:marRight w:val="0"/>
      <w:marTop w:val="0"/>
      <w:marBottom w:val="0"/>
      <w:divBdr>
        <w:top w:val="none" w:sz="0" w:space="0" w:color="auto"/>
        <w:left w:val="none" w:sz="0" w:space="0" w:color="auto"/>
        <w:bottom w:val="none" w:sz="0" w:space="0" w:color="auto"/>
        <w:right w:val="none" w:sz="0" w:space="0" w:color="auto"/>
      </w:divBdr>
    </w:div>
    <w:div w:id="23142443">
      <w:bodyDiv w:val="1"/>
      <w:marLeft w:val="0"/>
      <w:marRight w:val="0"/>
      <w:marTop w:val="0"/>
      <w:marBottom w:val="0"/>
      <w:divBdr>
        <w:top w:val="none" w:sz="0" w:space="0" w:color="auto"/>
        <w:left w:val="none" w:sz="0" w:space="0" w:color="auto"/>
        <w:bottom w:val="none" w:sz="0" w:space="0" w:color="auto"/>
        <w:right w:val="none" w:sz="0" w:space="0" w:color="auto"/>
      </w:divBdr>
    </w:div>
    <w:div w:id="165245823">
      <w:bodyDiv w:val="1"/>
      <w:marLeft w:val="0"/>
      <w:marRight w:val="0"/>
      <w:marTop w:val="0"/>
      <w:marBottom w:val="0"/>
      <w:divBdr>
        <w:top w:val="none" w:sz="0" w:space="0" w:color="auto"/>
        <w:left w:val="none" w:sz="0" w:space="0" w:color="auto"/>
        <w:bottom w:val="none" w:sz="0" w:space="0" w:color="auto"/>
        <w:right w:val="none" w:sz="0" w:space="0" w:color="auto"/>
      </w:divBdr>
    </w:div>
    <w:div w:id="176505624">
      <w:bodyDiv w:val="1"/>
      <w:marLeft w:val="0"/>
      <w:marRight w:val="0"/>
      <w:marTop w:val="0"/>
      <w:marBottom w:val="0"/>
      <w:divBdr>
        <w:top w:val="none" w:sz="0" w:space="0" w:color="auto"/>
        <w:left w:val="none" w:sz="0" w:space="0" w:color="auto"/>
        <w:bottom w:val="none" w:sz="0" w:space="0" w:color="auto"/>
        <w:right w:val="none" w:sz="0" w:space="0" w:color="auto"/>
      </w:divBdr>
    </w:div>
    <w:div w:id="445849577">
      <w:bodyDiv w:val="1"/>
      <w:marLeft w:val="0"/>
      <w:marRight w:val="0"/>
      <w:marTop w:val="0"/>
      <w:marBottom w:val="0"/>
      <w:divBdr>
        <w:top w:val="none" w:sz="0" w:space="0" w:color="auto"/>
        <w:left w:val="none" w:sz="0" w:space="0" w:color="auto"/>
        <w:bottom w:val="none" w:sz="0" w:space="0" w:color="auto"/>
        <w:right w:val="none" w:sz="0" w:space="0" w:color="auto"/>
      </w:divBdr>
    </w:div>
    <w:div w:id="676077483">
      <w:bodyDiv w:val="1"/>
      <w:marLeft w:val="0"/>
      <w:marRight w:val="0"/>
      <w:marTop w:val="0"/>
      <w:marBottom w:val="0"/>
      <w:divBdr>
        <w:top w:val="none" w:sz="0" w:space="0" w:color="auto"/>
        <w:left w:val="none" w:sz="0" w:space="0" w:color="auto"/>
        <w:bottom w:val="none" w:sz="0" w:space="0" w:color="auto"/>
        <w:right w:val="none" w:sz="0" w:space="0" w:color="auto"/>
      </w:divBdr>
    </w:div>
    <w:div w:id="819855905">
      <w:bodyDiv w:val="1"/>
      <w:marLeft w:val="0"/>
      <w:marRight w:val="0"/>
      <w:marTop w:val="0"/>
      <w:marBottom w:val="0"/>
      <w:divBdr>
        <w:top w:val="none" w:sz="0" w:space="0" w:color="auto"/>
        <w:left w:val="none" w:sz="0" w:space="0" w:color="auto"/>
        <w:bottom w:val="none" w:sz="0" w:space="0" w:color="auto"/>
        <w:right w:val="none" w:sz="0" w:space="0" w:color="auto"/>
      </w:divBdr>
    </w:div>
    <w:div w:id="1145274115">
      <w:bodyDiv w:val="1"/>
      <w:marLeft w:val="0"/>
      <w:marRight w:val="0"/>
      <w:marTop w:val="0"/>
      <w:marBottom w:val="0"/>
      <w:divBdr>
        <w:top w:val="none" w:sz="0" w:space="0" w:color="auto"/>
        <w:left w:val="none" w:sz="0" w:space="0" w:color="auto"/>
        <w:bottom w:val="none" w:sz="0" w:space="0" w:color="auto"/>
        <w:right w:val="none" w:sz="0" w:space="0" w:color="auto"/>
      </w:divBdr>
    </w:div>
    <w:div w:id="1195577851">
      <w:bodyDiv w:val="1"/>
      <w:marLeft w:val="0"/>
      <w:marRight w:val="0"/>
      <w:marTop w:val="0"/>
      <w:marBottom w:val="0"/>
      <w:divBdr>
        <w:top w:val="none" w:sz="0" w:space="0" w:color="auto"/>
        <w:left w:val="none" w:sz="0" w:space="0" w:color="auto"/>
        <w:bottom w:val="none" w:sz="0" w:space="0" w:color="auto"/>
        <w:right w:val="none" w:sz="0" w:space="0" w:color="auto"/>
      </w:divBdr>
    </w:div>
    <w:div w:id="1358920194">
      <w:bodyDiv w:val="1"/>
      <w:marLeft w:val="0"/>
      <w:marRight w:val="0"/>
      <w:marTop w:val="0"/>
      <w:marBottom w:val="0"/>
      <w:divBdr>
        <w:top w:val="none" w:sz="0" w:space="0" w:color="auto"/>
        <w:left w:val="none" w:sz="0" w:space="0" w:color="auto"/>
        <w:bottom w:val="none" w:sz="0" w:space="0" w:color="auto"/>
        <w:right w:val="none" w:sz="0" w:space="0" w:color="auto"/>
      </w:divBdr>
    </w:div>
    <w:div w:id="1411804637">
      <w:bodyDiv w:val="1"/>
      <w:marLeft w:val="0"/>
      <w:marRight w:val="0"/>
      <w:marTop w:val="0"/>
      <w:marBottom w:val="0"/>
      <w:divBdr>
        <w:top w:val="none" w:sz="0" w:space="0" w:color="auto"/>
        <w:left w:val="none" w:sz="0" w:space="0" w:color="auto"/>
        <w:bottom w:val="none" w:sz="0" w:space="0" w:color="auto"/>
        <w:right w:val="none" w:sz="0" w:space="0" w:color="auto"/>
      </w:divBdr>
    </w:div>
    <w:div w:id="1488472797">
      <w:bodyDiv w:val="1"/>
      <w:marLeft w:val="0"/>
      <w:marRight w:val="0"/>
      <w:marTop w:val="0"/>
      <w:marBottom w:val="0"/>
      <w:divBdr>
        <w:top w:val="none" w:sz="0" w:space="0" w:color="auto"/>
        <w:left w:val="none" w:sz="0" w:space="0" w:color="auto"/>
        <w:bottom w:val="none" w:sz="0" w:space="0" w:color="auto"/>
        <w:right w:val="none" w:sz="0" w:space="0" w:color="auto"/>
      </w:divBdr>
    </w:div>
    <w:div w:id="1548763745">
      <w:bodyDiv w:val="1"/>
      <w:marLeft w:val="0"/>
      <w:marRight w:val="0"/>
      <w:marTop w:val="0"/>
      <w:marBottom w:val="0"/>
      <w:divBdr>
        <w:top w:val="none" w:sz="0" w:space="0" w:color="auto"/>
        <w:left w:val="none" w:sz="0" w:space="0" w:color="auto"/>
        <w:bottom w:val="none" w:sz="0" w:space="0" w:color="auto"/>
        <w:right w:val="none" w:sz="0" w:space="0" w:color="auto"/>
      </w:divBdr>
    </w:div>
    <w:div w:id="21319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673978/clinical_guidelines_2017.pdf" TargetMode="External"/><Relationship Id="rId18" Type="http://schemas.openxmlformats.org/officeDocument/2006/relationships/hyperlink" Target="https://www.cppe.ac.uk/learningdocuments/pdfs/substanceuse_ol_2nded.pdf"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rpharms.com/" TargetMode="External"/><Relationship Id="rId7" Type="http://schemas.openxmlformats.org/officeDocument/2006/relationships/settings" Target="settings.xml"/><Relationship Id="rId12" Type="http://schemas.openxmlformats.org/officeDocument/2006/relationships/hyperlink" Target="mailto:ns.wearewithyou@nhs.net" TargetMode="External"/><Relationship Id="rId17" Type="http://schemas.openxmlformats.org/officeDocument/2006/relationships/hyperlink" Target="https://www.cppe.ac.uk/programmes/l/substance-e-02/"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gov.uk/government/publications/community-pharmacy-delivering-substance-misuse-services/community-pharmacy-delivering-substance-misuse-services" TargetMode="External"/><Relationship Id="rId20" Type="http://schemas.openxmlformats.org/officeDocument/2006/relationships/hyperlink" Target="https://www.cmhp.org.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ona.dixon@n-someret.gov.uk"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nice.org.uk/Guidance/TA114"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ptu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drug-misuse-and-dependence-uk-guidelines-on-clinical-management" TargetMode="External"/><Relationship Id="rId22" Type="http://schemas.openxmlformats.org/officeDocument/2006/relationships/hyperlink" Target="http://www.england.nhs.uk/patient-safety/patient-safety-insight/learning-from-patient-safety-events/"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somerset.gov.uk/sites/default/files/2024-04/corporate%20plan%202024-28.pdf" TargetMode="External"/><Relationship Id="rId1" Type="http://schemas.openxmlformats.org/officeDocument/2006/relationships/hyperlink" Target="https://n-somerset.gov.uk/council-democracy/priorities-strategies/joint-health-wellbeing-strategy-2025-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78d80d-5092-40ee-97ea-ceb9e24b41f0" xsi:nil="true"/>
    <lcf76f155ced4ddcb4097134ff3c332f xmlns="9d708b0b-ccb6-48b0-afcd-7f32bfb1ea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523472671d44ba3d96fa47ea2aad77bc">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51a8cfb034c89be3f54a3f2be64dcce6"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16E7D-A5D6-436C-BA51-FACB7E3A0562}">
  <ds:schemaRefs>
    <ds:schemaRef ds:uri="http://schemas.openxmlformats.org/officeDocument/2006/bibliography"/>
  </ds:schemaRefs>
</ds:datastoreItem>
</file>

<file path=customXml/itemProps2.xml><?xml version="1.0" encoding="utf-8"?>
<ds:datastoreItem xmlns:ds="http://schemas.openxmlformats.org/officeDocument/2006/customXml" ds:itemID="{C6EE02EB-92E5-4BB3-A4A4-6D9CFDFD66B0}">
  <ds:schemaRefs>
    <ds:schemaRef ds:uri="9d708b0b-ccb6-48b0-afcd-7f32bfb1eaee"/>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578d80d-5092-40ee-97ea-ceb9e24b41f0"/>
    <ds:schemaRef ds:uri="http://www.w3.org/XML/1998/namespace"/>
    <ds:schemaRef ds:uri="http://purl.org/dc/dcmitype/"/>
  </ds:schemaRefs>
</ds:datastoreItem>
</file>

<file path=customXml/itemProps3.xml><?xml version="1.0" encoding="utf-8"?>
<ds:datastoreItem xmlns:ds="http://schemas.openxmlformats.org/officeDocument/2006/customXml" ds:itemID="{97F3F7CB-3BFD-48D6-9234-FB1E59E94C05}">
  <ds:schemaRefs>
    <ds:schemaRef ds:uri="http://schemas.microsoft.com/sharepoint/v3/contenttype/forms"/>
  </ds:schemaRefs>
</ds:datastoreItem>
</file>

<file path=customXml/itemProps4.xml><?xml version="1.0" encoding="utf-8"?>
<ds:datastoreItem xmlns:ds="http://schemas.openxmlformats.org/officeDocument/2006/customXml" ds:itemID="{3AB0D695-EC1B-4B21-BABE-8CA3CD5E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2358</Words>
  <Characters>13917</Characters>
  <Application>Microsoft Office Word</Application>
  <DocSecurity>4</DocSecurity>
  <Lines>347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opiate supervised consumption service specification</dc:title>
  <dc:subject/>
  <dc:creator>Sandra Shcherba</dc:creator>
  <cp:keywords/>
  <dc:description/>
  <cp:lastModifiedBy>Rachel Dunston</cp:lastModifiedBy>
  <cp:revision>2</cp:revision>
  <dcterms:created xsi:type="dcterms:W3CDTF">2025-11-05T09:07:00Z</dcterms:created>
  <dcterms:modified xsi:type="dcterms:W3CDTF">2025-11-05T09:07:00Z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0x01010049FBAF2B9210C548A9344B7B0A856CF4</vt:lpwstr>
  </property>
  <property fmtid="{D5CDD505-2E9C-101B-9397-08002B2CF9AE}" pid="4" name="MediaServiceImageTags">
    <vt:lpwstr/>
  </property>
</Properties>
</file>