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ED8B" w14:textId="77777777" w:rsidR="009A44D3" w:rsidRPr="00072B22" w:rsidRDefault="009A44D3" w:rsidP="35283E35">
      <w:pPr>
        <w:pStyle w:val="BodyText"/>
        <w:spacing w:after="0"/>
        <w:jc w:val="left"/>
        <w:rPr>
          <w:rFonts w:asciiTheme="minorHAnsi" w:hAnsiTheme="minorHAnsi" w:cstheme="minorBidi"/>
          <w:b/>
          <w:bCs/>
          <w:szCs w:val="24"/>
        </w:rPr>
      </w:pPr>
      <w:bookmarkStart w:id="0" w:name="_Hlk165552194"/>
      <w:r w:rsidRPr="35283E35">
        <w:rPr>
          <w:rFonts w:asciiTheme="minorHAnsi" w:hAnsiTheme="minorHAnsi" w:cstheme="minorBidi"/>
          <w:b/>
          <w:bCs/>
          <w:szCs w:val="24"/>
        </w:rPr>
        <w:t xml:space="preserve">SCHEDULE A – </w:t>
      </w:r>
      <w:bookmarkEnd w:id="0"/>
      <w:r w:rsidRPr="35283E35">
        <w:rPr>
          <w:rFonts w:asciiTheme="minorHAnsi" w:hAnsiTheme="minorHAnsi" w:cstheme="minorBidi"/>
          <w:b/>
          <w:bCs/>
          <w:szCs w:val="24"/>
        </w:rPr>
        <w:t>SERVICE SPECIFICATIONS</w:t>
      </w:r>
    </w:p>
    <w:p w14:paraId="0CB4B5E1" w14:textId="77777777" w:rsidR="009A44D3" w:rsidRPr="00072B22" w:rsidRDefault="009A44D3" w:rsidP="35283E35">
      <w:pPr>
        <w:pStyle w:val="BodyText"/>
        <w:spacing w:after="0"/>
        <w:jc w:val="left"/>
        <w:rPr>
          <w:rFonts w:asciiTheme="minorHAnsi" w:hAnsiTheme="minorHAnsi" w:cstheme="minorBidi"/>
          <w:b/>
          <w:bCs/>
          <w:szCs w:val="24"/>
        </w:rPr>
      </w:pPr>
    </w:p>
    <w:p w14:paraId="7BF4F277" w14:textId="77777777" w:rsidR="00237261" w:rsidRPr="00072B22" w:rsidRDefault="00237261" w:rsidP="4DE65792">
      <w:pPr>
        <w:pStyle w:val="Heading2"/>
        <w:rPr>
          <w:rFonts w:asciiTheme="minorHAnsi" w:hAnsiTheme="minorHAnsi" w:cstheme="minorBidi"/>
          <w:b/>
          <w:bCs/>
          <w:sz w:val="24"/>
          <w:szCs w:val="24"/>
        </w:rPr>
      </w:pPr>
      <w:r w:rsidRPr="4DE65792">
        <w:rPr>
          <w:rFonts w:asciiTheme="minorHAnsi" w:hAnsiTheme="minorHAnsi" w:cstheme="minorBidi"/>
          <w:b/>
          <w:bCs/>
          <w:sz w:val="24"/>
          <w:szCs w:val="24"/>
        </w:rPr>
        <w:t>GP SEXUAL HEALTH SERVICES</w:t>
      </w:r>
    </w:p>
    <w:p w14:paraId="11A8B2EF" w14:textId="77777777" w:rsidR="00237261" w:rsidRPr="00072B22" w:rsidRDefault="00237261" w:rsidP="35283E35">
      <w:pPr>
        <w:pStyle w:val="BodyText"/>
        <w:spacing w:after="0"/>
        <w:jc w:val="left"/>
        <w:rPr>
          <w:rFonts w:asciiTheme="minorHAnsi" w:hAnsiTheme="minorHAnsi" w:cstheme="minorBidi"/>
          <w:szCs w:val="24"/>
        </w:rPr>
      </w:pPr>
    </w:p>
    <w:p w14:paraId="4D9B0DDA" w14:textId="00CDC4E7" w:rsidR="00237261" w:rsidRPr="00072B22" w:rsidRDefault="3EC27DCF" w:rsidP="5160D0DF">
      <w:pPr>
        <w:pStyle w:val="BodyText"/>
        <w:spacing w:after="0"/>
        <w:jc w:val="left"/>
        <w:rPr>
          <w:rFonts w:ascii="Calibri" w:hAnsi="Calibri"/>
          <w:szCs w:val="24"/>
        </w:rPr>
      </w:pPr>
      <w:r w:rsidRPr="5160D0DF">
        <w:rPr>
          <w:rFonts w:ascii="Calibri" w:hAnsi="Calibri"/>
          <w:szCs w:val="24"/>
        </w:rPr>
        <w:t>This service specification outlines the specialised sexual health services to be provided in General Practice in addition to the standard contract requirements.</w:t>
      </w:r>
    </w:p>
    <w:p w14:paraId="06D1898D" w14:textId="426FAEA3" w:rsidR="00237261" w:rsidRPr="00072B22" w:rsidRDefault="00237261" w:rsidP="5160D0DF">
      <w:pPr>
        <w:pStyle w:val="BodyText"/>
        <w:spacing w:after="0"/>
        <w:jc w:val="left"/>
        <w:rPr>
          <w:rFonts w:ascii="Calibri" w:hAnsi="Calibri"/>
          <w:szCs w:val="24"/>
        </w:rPr>
      </w:pPr>
    </w:p>
    <w:p w14:paraId="7188B050" w14:textId="3D57566D" w:rsidR="00237261" w:rsidRPr="00072B22" w:rsidRDefault="3EC27DCF" w:rsidP="5160D0DF">
      <w:pPr>
        <w:pStyle w:val="BodyText"/>
        <w:spacing w:after="0"/>
        <w:jc w:val="left"/>
        <w:rPr>
          <w:rFonts w:ascii="Calibri" w:hAnsi="Calibri"/>
          <w:szCs w:val="24"/>
        </w:rPr>
      </w:pPr>
      <w:r w:rsidRPr="5160D0DF">
        <w:rPr>
          <w:rFonts w:ascii="Calibri" w:hAnsi="Calibri"/>
          <w:szCs w:val="24"/>
        </w:rPr>
        <w:t xml:space="preserve">As of 1st April 2025, the new Bristol, North Somerset and South Gloucestershire (BNSSG) Integrated Sexual Health Service </w:t>
      </w:r>
      <w:r w:rsidR="3E5BE47A" w:rsidRPr="5160D0DF">
        <w:rPr>
          <w:rFonts w:ascii="Calibri" w:hAnsi="Calibri"/>
          <w:szCs w:val="24"/>
        </w:rPr>
        <w:t xml:space="preserve">(ISHS) </w:t>
      </w:r>
      <w:r w:rsidRPr="5160D0DF">
        <w:rPr>
          <w:rFonts w:ascii="Calibri" w:hAnsi="Calibri"/>
          <w:szCs w:val="24"/>
        </w:rPr>
        <w:t>is operational and delivered under the name Yuno. Yuno aims to improve sexual and reproductive health by offering a non-judgmental, confidential, and accessible service across BNSSG.</w:t>
      </w:r>
    </w:p>
    <w:p w14:paraId="35A4B279" w14:textId="5B715E0B" w:rsidR="00237261" w:rsidRPr="00072B22" w:rsidRDefault="00237261" w:rsidP="5160D0DF">
      <w:pPr>
        <w:pStyle w:val="BodyText"/>
        <w:spacing w:after="0"/>
        <w:jc w:val="left"/>
        <w:rPr>
          <w:rFonts w:ascii="Calibri" w:hAnsi="Calibri"/>
          <w:szCs w:val="24"/>
        </w:rPr>
      </w:pPr>
    </w:p>
    <w:p w14:paraId="702A5D11" w14:textId="5256764A" w:rsidR="00237261" w:rsidRPr="00072B22" w:rsidRDefault="3EC27DCF" w:rsidP="5160D0DF">
      <w:pPr>
        <w:pStyle w:val="BodyText"/>
        <w:spacing w:after="0"/>
        <w:jc w:val="left"/>
        <w:rPr>
          <w:rFonts w:ascii="Calibri" w:hAnsi="Calibri"/>
          <w:szCs w:val="24"/>
        </w:rPr>
      </w:pPr>
      <w:r w:rsidRPr="5160D0DF">
        <w:rPr>
          <w:rFonts w:ascii="Calibri" w:hAnsi="Calibri"/>
          <w:szCs w:val="24"/>
        </w:rPr>
        <w:t>Yuno is delivered through a partnership of providers:</w:t>
      </w:r>
    </w:p>
    <w:p w14:paraId="4749911F" w14:textId="5BEBA1C2" w:rsidR="00237261" w:rsidRPr="00072B22" w:rsidRDefault="00237261" w:rsidP="5160D0DF">
      <w:pPr>
        <w:pStyle w:val="BodyText"/>
        <w:spacing w:after="0"/>
        <w:jc w:val="left"/>
        <w:rPr>
          <w:rFonts w:ascii="Calibri" w:hAnsi="Calibri"/>
          <w:szCs w:val="24"/>
        </w:rPr>
      </w:pPr>
    </w:p>
    <w:p w14:paraId="2A7AE27A" w14:textId="17EF9104" w:rsidR="00237261" w:rsidRPr="00072B22" w:rsidRDefault="3EC27DCF" w:rsidP="5160D0DF">
      <w:pPr>
        <w:pStyle w:val="BodyText"/>
        <w:numPr>
          <w:ilvl w:val="0"/>
          <w:numId w:val="1"/>
        </w:numPr>
        <w:spacing w:after="0"/>
        <w:jc w:val="left"/>
        <w:rPr>
          <w:rFonts w:ascii="Calibri" w:hAnsi="Calibri"/>
          <w:szCs w:val="24"/>
        </w:rPr>
      </w:pPr>
      <w:r w:rsidRPr="4DE65792">
        <w:rPr>
          <w:rFonts w:ascii="Calibri" w:hAnsi="Calibri"/>
          <w:szCs w:val="24"/>
        </w:rPr>
        <w:t xml:space="preserve">SH:24 – responsible for the digital ‘front door’, which is a clinically supported, open-access online sexual and reproductive health prevention and treatment service. This can be accessed at </w:t>
      </w:r>
      <w:hyperlink r:id="rId11">
        <w:r w:rsidRPr="4DE65792">
          <w:rPr>
            <w:rStyle w:val="Hyperlink"/>
            <w:rFonts w:ascii="Calibri" w:hAnsi="Calibri"/>
            <w:szCs w:val="24"/>
          </w:rPr>
          <w:t>https://yunosexualhealth.co.uk</w:t>
        </w:r>
      </w:hyperlink>
      <w:r w:rsidRPr="4DE65792">
        <w:rPr>
          <w:rFonts w:ascii="Calibri" w:hAnsi="Calibri"/>
          <w:szCs w:val="24"/>
        </w:rPr>
        <w:t>.</w:t>
      </w:r>
    </w:p>
    <w:p w14:paraId="647B4733" w14:textId="4F7AA7BB" w:rsidR="00237261" w:rsidRPr="00072B22" w:rsidRDefault="00237261" w:rsidP="5160D0DF">
      <w:pPr>
        <w:pStyle w:val="BodyText"/>
        <w:spacing w:after="0"/>
        <w:ind w:left="720"/>
        <w:jc w:val="left"/>
        <w:rPr>
          <w:rFonts w:ascii="Calibri" w:hAnsi="Calibri"/>
          <w:szCs w:val="24"/>
        </w:rPr>
      </w:pPr>
    </w:p>
    <w:p w14:paraId="4696C1C5" w14:textId="0DCFF42D" w:rsidR="00237261" w:rsidRPr="00072B22" w:rsidRDefault="3EC27DCF" w:rsidP="5160D0DF">
      <w:pPr>
        <w:pStyle w:val="BodyText"/>
        <w:numPr>
          <w:ilvl w:val="0"/>
          <w:numId w:val="1"/>
        </w:numPr>
        <w:spacing w:after="0"/>
        <w:jc w:val="left"/>
        <w:rPr>
          <w:rFonts w:ascii="Calibri" w:hAnsi="Calibri"/>
          <w:szCs w:val="24"/>
        </w:rPr>
      </w:pPr>
      <w:r w:rsidRPr="5160D0DF">
        <w:rPr>
          <w:rFonts w:ascii="Calibri" w:hAnsi="Calibri"/>
          <w:szCs w:val="24"/>
        </w:rPr>
        <w:t>University Hospitals Bristol and Weston NHS Foundation Trust (UHBW) – provides community-based specialist sexual and reproductive health clinics across BNSSG. These offer face-to-face and telephone appointments (booked via the digital front door), with some walk-in availability.</w:t>
      </w:r>
    </w:p>
    <w:p w14:paraId="6E0DCB0C" w14:textId="7C6A2534" w:rsidR="00237261" w:rsidRPr="00072B22" w:rsidRDefault="00237261" w:rsidP="5160D0DF">
      <w:pPr>
        <w:pStyle w:val="BodyText"/>
        <w:spacing w:after="0"/>
        <w:ind w:left="720"/>
        <w:jc w:val="left"/>
        <w:rPr>
          <w:rFonts w:ascii="Calibri" w:hAnsi="Calibri"/>
          <w:szCs w:val="24"/>
        </w:rPr>
      </w:pPr>
    </w:p>
    <w:p w14:paraId="28B3500D" w14:textId="7EF40A5A" w:rsidR="00237261" w:rsidRPr="00072B22" w:rsidRDefault="3EC27DCF" w:rsidP="5160D0DF">
      <w:pPr>
        <w:pStyle w:val="BodyText"/>
        <w:numPr>
          <w:ilvl w:val="0"/>
          <w:numId w:val="1"/>
        </w:numPr>
        <w:spacing w:after="0"/>
        <w:jc w:val="left"/>
        <w:rPr>
          <w:rFonts w:ascii="Calibri" w:hAnsi="Calibri"/>
          <w:szCs w:val="24"/>
        </w:rPr>
      </w:pPr>
      <w:r w:rsidRPr="5160D0DF">
        <w:rPr>
          <w:rFonts w:ascii="Calibri" w:hAnsi="Calibri"/>
          <w:szCs w:val="24"/>
        </w:rPr>
        <w:t>Brook – leads the prevention, health promotion, and community engagement service, delivering targeted outreach into vulnerable and high-need communities to address sexual health inequalities.</w:t>
      </w:r>
    </w:p>
    <w:p w14:paraId="07DAD1D7" w14:textId="212B5D0E" w:rsidR="00237261" w:rsidRPr="00072B22" w:rsidRDefault="00237261" w:rsidP="5160D0DF">
      <w:pPr>
        <w:pStyle w:val="BodyText"/>
        <w:spacing w:after="0"/>
        <w:ind w:left="720"/>
        <w:jc w:val="left"/>
        <w:rPr>
          <w:rFonts w:ascii="Calibri" w:hAnsi="Calibri"/>
          <w:szCs w:val="24"/>
        </w:rPr>
      </w:pPr>
    </w:p>
    <w:p w14:paraId="53E600B6" w14:textId="44BCB0B0" w:rsidR="00237261" w:rsidRPr="00072B22" w:rsidRDefault="3EC27DCF" w:rsidP="5160D0DF">
      <w:pPr>
        <w:pStyle w:val="BodyText"/>
        <w:spacing w:after="0"/>
        <w:jc w:val="left"/>
        <w:rPr>
          <w:rFonts w:ascii="Calibri" w:hAnsi="Calibri"/>
          <w:szCs w:val="24"/>
        </w:rPr>
      </w:pPr>
      <w:r w:rsidRPr="5160D0DF">
        <w:rPr>
          <w:rFonts w:ascii="Calibri" w:hAnsi="Calibri"/>
          <w:szCs w:val="24"/>
        </w:rPr>
        <w:t>General Practices should be aware of and signpost patients to the Yuno service as appropriate, maintaining strong referral and communication pathways where specialist input is required.</w:t>
      </w:r>
    </w:p>
    <w:p w14:paraId="426925CC" w14:textId="73AD1D1A" w:rsidR="00237261" w:rsidRPr="00072B22" w:rsidRDefault="00237261" w:rsidP="5160D0DF">
      <w:pPr>
        <w:pStyle w:val="BodyText"/>
        <w:spacing w:after="0"/>
        <w:jc w:val="left"/>
        <w:rPr>
          <w:rFonts w:asciiTheme="minorHAnsi" w:hAnsiTheme="minorHAnsi" w:cstheme="minorBidi"/>
        </w:rPr>
      </w:pPr>
    </w:p>
    <w:p w14:paraId="2277C311" w14:textId="77777777" w:rsidR="007C125F" w:rsidRDefault="007C125F" w:rsidP="35283E35">
      <w:pPr>
        <w:pStyle w:val="BodyText"/>
        <w:spacing w:after="0"/>
        <w:jc w:val="left"/>
        <w:rPr>
          <w:rFonts w:asciiTheme="minorHAnsi" w:hAnsiTheme="minorHAnsi" w:cstheme="minorBidi"/>
          <w:szCs w:val="24"/>
        </w:rPr>
      </w:pPr>
    </w:p>
    <w:p w14:paraId="002E1644" w14:textId="77777777" w:rsidR="00237261" w:rsidRDefault="00237261" w:rsidP="35283E35">
      <w:pPr>
        <w:pStyle w:val="BodyText"/>
        <w:spacing w:after="0"/>
        <w:jc w:val="left"/>
        <w:rPr>
          <w:rFonts w:asciiTheme="minorHAnsi" w:hAnsiTheme="minorHAnsi" w:cstheme="minorBidi"/>
          <w:szCs w:val="24"/>
        </w:rPr>
      </w:pPr>
    </w:p>
    <w:tbl>
      <w:tblPr>
        <w:tblW w:w="0" w:type="auto"/>
        <w:tblLayout w:type="fixed"/>
        <w:tblLook w:val="01E0" w:firstRow="1" w:lastRow="1" w:firstColumn="1" w:lastColumn="1" w:noHBand="0" w:noVBand="0"/>
      </w:tblPr>
      <w:tblGrid>
        <w:gridCol w:w="7379"/>
        <w:gridCol w:w="1393"/>
      </w:tblGrid>
      <w:tr w:rsidR="59258795" w14:paraId="4DF085D3" w14:textId="77777777" w:rsidTr="59258795">
        <w:trPr>
          <w:trHeight w:val="345"/>
        </w:trPr>
        <w:tc>
          <w:tcPr>
            <w:tcW w:w="87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767171" w:themeFill="background2" w:themeFillShade="80"/>
            <w:tcMar>
              <w:left w:w="108" w:type="dxa"/>
              <w:right w:w="108" w:type="dxa"/>
            </w:tcMar>
          </w:tcPr>
          <w:p w14:paraId="0C3560E1" w14:textId="1ADF0ED9" w:rsidR="59258795" w:rsidRDefault="59258795" w:rsidP="59258795">
            <w:pPr>
              <w:jc w:val="center"/>
            </w:pPr>
            <w:r w:rsidRPr="59258795">
              <w:rPr>
                <w:rFonts w:ascii="Calibri" w:eastAsia="Calibri" w:hAnsi="Calibri" w:cs="Calibri"/>
                <w:b/>
                <w:bCs/>
                <w:color w:val="FFC000" w:themeColor="accent4"/>
                <w:sz w:val="22"/>
                <w:szCs w:val="22"/>
              </w:rPr>
              <w:t>Contents</w:t>
            </w:r>
          </w:p>
        </w:tc>
      </w:tr>
      <w:tr w:rsidR="59258795" w14:paraId="56E85E4B" w14:textId="77777777" w:rsidTr="59258795">
        <w:trPr>
          <w:trHeight w:val="345"/>
        </w:trPr>
        <w:tc>
          <w:tcPr>
            <w:tcW w:w="73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767171" w:themeFill="background2" w:themeFillShade="80"/>
            <w:tcMar>
              <w:left w:w="108" w:type="dxa"/>
              <w:right w:w="108" w:type="dxa"/>
            </w:tcMar>
          </w:tcPr>
          <w:p w14:paraId="463C4A3F" w14:textId="52BF67B5" w:rsidR="59258795" w:rsidRDefault="59258795" w:rsidP="59258795">
            <w:pPr>
              <w:jc w:val="left"/>
            </w:pPr>
            <w:r w:rsidRPr="59258795">
              <w:rPr>
                <w:rFonts w:ascii="Calibri" w:eastAsia="Calibri" w:hAnsi="Calibri" w:cs="Calibri"/>
                <w:b/>
                <w:bCs/>
                <w:color w:val="FFC000" w:themeColor="accent4"/>
                <w:sz w:val="22"/>
                <w:szCs w:val="22"/>
              </w:rPr>
              <w:t>Section</w:t>
            </w:r>
          </w:p>
        </w:tc>
        <w:tc>
          <w:tcPr>
            <w:tcW w:w="1393"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767171" w:themeFill="background2" w:themeFillShade="80"/>
            <w:tcMar>
              <w:left w:w="108" w:type="dxa"/>
              <w:right w:w="108" w:type="dxa"/>
            </w:tcMar>
            <w:vAlign w:val="center"/>
          </w:tcPr>
          <w:p w14:paraId="4C972250" w14:textId="7BB6E971" w:rsidR="59258795" w:rsidRDefault="59258795" w:rsidP="59258795">
            <w:pPr>
              <w:jc w:val="left"/>
              <w:rPr>
                <w:rFonts w:ascii="Calibri" w:eastAsia="Calibri" w:hAnsi="Calibri" w:cs="Calibri"/>
                <w:b/>
                <w:bCs/>
                <w:color w:val="FFC000" w:themeColor="accent4"/>
                <w:sz w:val="22"/>
                <w:szCs w:val="22"/>
              </w:rPr>
            </w:pPr>
          </w:p>
        </w:tc>
      </w:tr>
      <w:tr w:rsidR="59258795" w14:paraId="79168CC4" w14:textId="77777777" w:rsidTr="59258795">
        <w:trPr>
          <w:trHeight w:val="345"/>
        </w:trPr>
        <w:tc>
          <w:tcPr>
            <w:tcW w:w="87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767171" w:themeFill="background2" w:themeFillShade="80"/>
            <w:tcMar>
              <w:left w:w="108" w:type="dxa"/>
              <w:right w:w="108" w:type="dxa"/>
            </w:tcMar>
          </w:tcPr>
          <w:p w14:paraId="7D44077B" w14:textId="565061F0" w:rsidR="59258795" w:rsidRDefault="59258795" w:rsidP="59258795">
            <w:pPr>
              <w:jc w:val="left"/>
            </w:pPr>
            <w:r w:rsidRPr="59258795">
              <w:rPr>
                <w:rFonts w:ascii="Calibri" w:eastAsia="Calibri" w:hAnsi="Calibri" w:cs="Calibri"/>
                <w:b/>
                <w:bCs/>
                <w:color w:val="FFC000" w:themeColor="accent4"/>
                <w:sz w:val="22"/>
                <w:szCs w:val="22"/>
              </w:rPr>
              <w:t>PART A:</w:t>
            </w:r>
          </w:p>
        </w:tc>
      </w:tr>
      <w:tr w:rsidR="59258795" w14:paraId="20178D20" w14:textId="77777777" w:rsidTr="59258795">
        <w:trPr>
          <w:trHeight w:val="345"/>
        </w:trPr>
        <w:tc>
          <w:tcPr>
            <w:tcW w:w="87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8A353AF" w14:textId="27AAD9D9" w:rsidR="59258795" w:rsidRDefault="59258795" w:rsidP="59258795">
            <w:r w:rsidRPr="59258795">
              <w:rPr>
                <w:rFonts w:ascii="Calibri" w:eastAsia="Calibri" w:hAnsi="Calibri" w:cs="Calibri"/>
                <w:b/>
                <w:bCs/>
                <w:sz w:val="22"/>
                <w:szCs w:val="22"/>
              </w:rPr>
              <w:t xml:space="preserve">Service specification: </w:t>
            </w:r>
            <w:r w:rsidRPr="3613047E">
              <w:rPr>
                <w:rFonts w:ascii="Calibri" w:eastAsia="Calibri" w:hAnsi="Calibri" w:cs="Calibri"/>
                <w:color w:val="000000" w:themeColor="text1"/>
                <w:sz w:val="22"/>
                <w:szCs w:val="22"/>
              </w:rPr>
              <w:t>long-acting reversible contraception (LARC)</w:t>
            </w:r>
          </w:p>
        </w:tc>
      </w:tr>
      <w:tr w:rsidR="59258795" w14:paraId="027BC0E8" w14:textId="77777777" w:rsidTr="59258795">
        <w:trPr>
          <w:trHeight w:val="345"/>
        </w:trPr>
        <w:tc>
          <w:tcPr>
            <w:tcW w:w="87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767171" w:themeFill="background2" w:themeFillShade="80"/>
            <w:tcMar>
              <w:left w:w="108" w:type="dxa"/>
              <w:right w:w="108" w:type="dxa"/>
            </w:tcMar>
          </w:tcPr>
          <w:p w14:paraId="48F215BE" w14:textId="469AF2F1" w:rsidR="59258795" w:rsidRDefault="59258795" w:rsidP="0EC6F93A">
            <w:pPr>
              <w:jc w:val="left"/>
            </w:pPr>
            <w:r w:rsidRPr="59258795">
              <w:rPr>
                <w:rFonts w:ascii="Calibri" w:eastAsia="Calibri" w:hAnsi="Calibri" w:cs="Calibri"/>
                <w:b/>
                <w:bCs/>
                <w:color w:val="FFC000" w:themeColor="accent4"/>
                <w:sz w:val="22"/>
                <w:szCs w:val="22"/>
              </w:rPr>
              <w:t>PART B:</w:t>
            </w:r>
          </w:p>
        </w:tc>
      </w:tr>
      <w:tr w:rsidR="59258795" w14:paraId="674EF35B" w14:textId="77777777" w:rsidTr="1AAD7BD9">
        <w:trPr>
          <w:trHeight w:val="345"/>
        </w:trPr>
        <w:tc>
          <w:tcPr>
            <w:tcW w:w="87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DA35663" w14:textId="0904DCED" w:rsidR="7ADA72BE" w:rsidRPr="1AAD7BD9" w:rsidRDefault="7ADA72BE" w:rsidP="1AAD7BD9">
            <w:pPr>
              <w:spacing w:before="240"/>
              <w:rPr>
                <w:rFonts w:ascii="Calibri" w:eastAsia="Calibri" w:hAnsi="Calibri" w:cs="Calibri"/>
                <w:b/>
                <w:bCs/>
                <w:sz w:val="22"/>
                <w:szCs w:val="22"/>
              </w:rPr>
            </w:pPr>
            <w:r w:rsidRPr="1AAD7BD9">
              <w:rPr>
                <w:rFonts w:ascii="Calibri" w:eastAsia="Calibri" w:hAnsi="Calibri" w:cs="Calibri"/>
                <w:b/>
                <w:bCs/>
                <w:sz w:val="22"/>
                <w:szCs w:val="22"/>
              </w:rPr>
              <w:t>S</w:t>
            </w:r>
            <w:r w:rsidR="59258795" w:rsidRPr="1AAD7BD9">
              <w:rPr>
                <w:rFonts w:ascii="Calibri" w:eastAsia="Calibri" w:hAnsi="Calibri" w:cs="Calibri"/>
                <w:b/>
                <w:bCs/>
                <w:sz w:val="22"/>
                <w:szCs w:val="22"/>
              </w:rPr>
              <w:t xml:space="preserve">ervice specification: </w:t>
            </w:r>
            <w:r w:rsidR="59258795" w:rsidRPr="1AAD7BD9">
              <w:rPr>
                <w:rFonts w:ascii="Calibri" w:eastAsia="Calibri" w:hAnsi="Calibri" w:cs="Calibri"/>
                <w:sz w:val="22"/>
                <w:szCs w:val="22"/>
              </w:rPr>
              <w:t>chlamydia and gonorrhoea testing</w:t>
            </w:r>
          </w:p>
        </w:tc>
      </w:tr>
    </w:tbl>
    <w:p w14:paraId="706E312C" w14:textId="2163B899" w:rsidR="00072B22" w:rsidRDefault="00072B22" w:rsidP="35283E35">
      <w:pPr>
        <w:pStyle w:val="BodyText"/>
        <w:spacing w:after="0"/>
        <w:jc w:val="left"/>
        <w:rPr>
          <w:rFonts w:asciiTheme="minorHAnsi" w:hAnsiTheme="minorHAnsi" w:cstheme="minorBidi"/>
          <w:szCs w:val="24"/>
        </w:rPr>
      </w:pPr>
    </w:p>
    <w:p w14:paraId="1BD2589A" w14:textId="77777777" w:rsidR="00A275B7" w:rsidRDefault="00A275B7" w:rsidP="35283E35">
      <w:pPr>
        <w:pStyle w:val="BodyText"/>
        <w:spacing w:after="0"/>
        <w:jc w:val="left"/>
        <w:rPr>
          <w:rFonts w:asciiTheme="minorHAnsi" w:hAnsiTheme="minorHAnsi" w:cstheme="minorBidi"/>
          <w:szCs w:val="24"/>
        </w:rPr>
      </w:pPr>
    </w:p>
    <w:p w14:paraId="73971017" w14:textId="77777777" w:rsidR="002A0318" w:rsidRDefault="002A0318" w:rsidP="35283E35">
      <w:pPr>
        <w:pStyle w:val="BodyText"/>
        <w:spacing w:after="0"/>
        <w:jc w:val="left"/>
        <w:rPr>
          <w:rFonts w:asciiTheme="minorHAnsi" w:hAnsiTheme="minorHAnsi" w:cstheme="minorBidi"/>
          <w:szCs w:val="24"/>
        </w:rPr>
      </w:pPr>
    </w:p>
    <w:p w14:paraId="1603A146" w14:textId="77777777" w:rsidR="002A0318" w:rsidRDefault="002A0318" w:rsidP="35283E35">
      <w:pPr>
        <w:pStyle w:val="BodyText"/>
        <w:spacing w:after="0"/>
        <w:jc w:val="left"/>
        <w:rPr>
          <w:rFonts w:asciiTheme="minorHAnsi" w:hAnsiTheme="minorHAnsi" w:cstheme="minorBidi"/>
          <w:szCs w:val="24"/>
        </w:rPr>
      </w:pPr>
    </w:p>
    <w:p w14:paraId="1537DC35" w14:textId="77777777" w:rsidR="00A275B7" w:rsidRDefault="00A275B7" w:rsidP="35283E35">
      <w:pPr>
        <w:pStyle w:val="BodyText"/>
        <w:spacing w:after="0"/>
        <w:jc w:val="left"/>
        <w:rPr>
          <w:rFonts w:asciiTheme="minorHAnsi" w:hAnsiTheme="minorHAnsi" w:cstheme="minorBidi"/>
          <w:szCs w:val="24"/>
        </w:rPr>
      </w:pPr>
    </w:p>
    <w:p w14:paraId="16B9D75E" w14:textId="0B12E6E4" w:rsidR="00237261" w:rsidRPr="0094029D" w:rsidRDefault="0094029D" w:rsidP="0094029D">
      <w:pPr>
        <w:pStyle w:val="Heading1"/>
        <w:rPr>
          <w:sz w:val="36"/>
          <w:szCs w:val="36"/>
        </w:rPr>
      </w:pPr>
      <w:r w:rsidRPr="0094029D">
        <w:rPr>
          <w:sz w:val="36"/>
          <w:szCs w:val="36"/>
        </w:rPr>
        <w:lastRenderedPageBreak/>
        <w:t>PART A</w:t>
      </w:r>
    </w:p>
    <w:p w14:paraId="70BB089A" w14:textId="6E33EFC3" w:rsidR="0094029D" w:rsidRDefault="0094029D" w:rsidP="35283E35">
      <w:pPr>
        <w:pStyle w:val="BodyText"/>
        <w:spacing w:after="0"/>
        <w:jc w:val="left"/>
        <w:rPr>
          <w:rFonts w:asciiTheme="minorHAnsi" w:hAnsiTheme="minorHAnsi" w:cstheme="minorBidi"/>
          <w:szCs w:val="24"/>
        </w:rPr>
      </w:pPr>
      <w:r>
        <w:rPr>
          <w:rFonts w:asciiTheme="minorHAnsi" w:hAnsiTheme="minorHAnsi" w:cstheme="minorBidi"/>
          <w:szCs w:val="24"/>
        </w:rPr>
        <w:t xml:space="preserve">Service specification: </w:t>
      </w:r>
      <w:r w:rsidRPr="00FD74BD">
        <w:rPr>
          <w:rFonts w:ascii="Calibri" w:eastAsia="Calibri" w:hAnsi="Calibri" w:cs="Calibri"/>
          <w:b/>
          <w:bCs/>
          <w:color w:val="000000" w:themeColor="text1"/>
          <w:sz w:val="22"/>
          <w:szCs w:val="22"/>
        </w:rPr>
        <w:t>long-acting reversible contraception (LARC)</w:t>
      </w:r>
      <w:r>
        <w:rPr>
          <w:rFonts w:asciiTheme="minorHAnsi" w:hAnsiTheme="minorHAnsi" w:cstheme="minorBidi"/>
          <w:szCs w:val="24"/>
        </w:rPr>
        <w:t xml:space="preserve"> </w:t>
      </w:r>
    </w:p>
    <w:p w14:paraId="4CD1068E" w14:textId="77777777" w:rsidR="0094029D" w:rsidRDefault="0094029D" w:rsidP="35283E35">
      <w:pPr>
        <w:pStyle w:val="BodyText"/>
        <w:spacing w:after="0"/>
        <w:jc w:val="left"/>
        <w:rPr>
          <w:rFonts w:asciiTheme="minorHAnsi" w:hAnsiTheme="minorHAnsi" w:cstheme="minorBidi"/>
          <w:szCs w:val="24"/>
        </w:rPr>
      </w:pPr>
    </w:p>
    <w:p w14:paraId="2422C3B2" w14:textId="77777777" w:rsidR="0094029D" w:rsidRPr="00072B22" w:rsidRDefault="0094029D" w:rsidP="35283E35">
      <w:pPr>
        <w:pStyle w:val="BodyText"/>
        <w:spacing w:after="0"/>
        <w:jc w:val="left"/>
        <w:rPr>
          <w:rFonts w:asciiTheme="minorHAnsi" w:hAnsiTheme="minorHAnsi" w:cstheme="minorBidi"/>
          <w:szCs w:val="24"/>
        </w:rPr>
      </w:pPr>
    </w:p>
    <w:tbl>
      <w:tblPr>
        <w:tblW w:w="9245"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165"/>
        <w:gridCol w:w="7"/>
      </w:tblGrid>
      <w:tr w:rsidR="00AD5278" w:rsidRPr="00072B22" w14:paraId="507CC26C" w14:textId="77777777" w:rsidTr="7E8D1FC9">
        <w:trPr>
          <w:trHeight w:val="567"/>
        </w:trPr>
        <w:tc>
          <w:tcPr>
            <w:tcW w:w="3073" w:type="dxa"/>
            <w:shd w:val="clear" w:color="auto" w:fill="767171" w:themeFill="background2" w:themeFillShade="80"/>
            <w:vAlign w:val="center"/>
          </w:tcPr>
          <w:p w14:paraId="24DD510A" w14:textId="77777777" w:rsidR="009A44D3" w:rsidRPr="00072B22" w:rsidRDefault="009A44D3" w:rsidP="35283E35">
            <w:pPr>
              <w:suppressAutoHyphens w:val="0"/>
              <w:jc w:val="left"/>
              <w:rPr>
                <w:rFonts w:asciiTheme="minorHAnsi" w:eastAsia="MS ??" w:hAnsiTheme="minorHAnsi" w:cstheme="minorBidi"/>
                <w:color w:val="FFC000"/>
                <w:szCs w:val="24"/>
              </w:rPr>
            </w:pPr>
            <w:bookmarkStart w:id="1" w:name="_Hlk165551485"/>
            <w:r w:rsidRPr="35283E35">
              <w:rPr>
                <w:rFonts w:asciiTheme="minorHAnsi" w:eastAsia="MS ??" w:hAnsiTheme="minorHAnsi" w:cstheme="minorBidi"/>
                <w:color w:val="FFC000" w:themeColor="accent4"/>
                <w:szCs w:val="24"/>
              </w:rPr>
              <w:t xml:space="preserve">Service Specification No. </w:t>
            </w:r>
          </w:p>
        </w:tc>
        <w:tc>
          <w:tcPr>
            <w:tcW w:w="6172" w:type="dxa"/>
            <w:gridSpan w:val="2"/>
            <w:vAlign w:val="center"/>
          </w:tcPr>
          <w:p w14:paraId="597AA0EE" w14:textId="7C9227FB" w:rsidR="009A44D3" w:rsidRPr="00072B22" w:rsidRDefault="009A44D3" w:rsidP="5160D0DF">
            <w:pPr>
              <w:suppressAutoHyphens w:val="0"/>
              <w:jc w:val="left"/>
              <w:rPr>
                <w:rFonts w:asciiTheme="minorHAnsi" w:eastAsia="MS ??" w:hAnsiTheme="minorHAnsi" w:cstheme="minorBidi"/>
                <w:b/>
                <w:bCs/>
              </w:rPr>
            </w:pPr>
            <w:r w:rsidRPr="5160D0DF">
              <w:rPr>
                <w:rFonts w:asciiTheme="minorHAnsi" w:eastAsia="MS ??" w:hAnsiTheme="minorHAnsi" w:cstheme="minorBidi"/>
                <w:b/>
                <w:bCs/>
              </w:rPr>
              <w:t>202</w:t>
            </w:r>
            <w:r w:rsidR="00237261" w:rsidRPr="5160D0DF">
              <w:rPr>
                <w:rFonts w:asciiTheme="minorHAnsi" w:eastAsia="MS ??" w:hAnsiTheme="minorHAnsi" w:cstheme="minorBidi"/>
                <w:b/>
                <w:bCs/>
              </w:rPr>
              <w:t>6</w:t>
            </w:r>
            <w:r w:rsidRPr="5160D0DF">
              <w:rPr>
                <w:rFonts w:asciiTheme="minorHAnsi" w:eastAsia="MS ??" w:hAnsiTheme="minorHAnsi" w:cstheme="minorBidi"/>
                <w:b/>
                <w:bCs/>
              </w:rPr>
              <w:t xml:space="preserve"> SHS</w:t>
            </w:r>
            <w:r w:rsidR="5FF88B3E" w:rsidRPr="5160D0DF">
              <w:rPr>
                <w:rFonts w:asciiTheme="minorHAnsi" w:eastAsia="MS ??" w:hAnsiTheme="minorHAnsi" w:cstheme="minorBidi"/>
                <w:b/>
                <w:bCs/>
              </w:rPr>
              <w:t>A</w:t>
            </w:r>
          </w:p>
        </w:tc>
      </w:tr>
      <w:bookmarkEnd w:id="1"/>
      <w:tr w:rsidR="00AD5278" w:rsidRPr="00072B22" w14:paraId="7E458A9D" w14:textId="77777777" w:rsidTr="7E8D1FC9">
        <w:trPr>
          <w:trHeight w:val="567"/>
        </w:trPr>
        <w:tc>
          <w:tcPr>
            <w:tcW w:w="3073" w:type="dxa"/>
            <w:shd w:val="clear" w:color="auto" w:fill="767171" w:themeFill="background2" w:themeFillShade="80"/>
            <w:vAlign w:val="center"/>
          </w:tcPr>
          <w:p w14:paraId="5D3B7BA7" w14:textId="77777777" w:rsidR="009A44D3" w:rsidRPr="00072B22" w:rsidRDefault="009A44D3" w:rsidP="35283E35">
            <w:pPr>
              <w:suppressAutoHyphens w:val="0"/>
              <w:jc w:val="left"/>
              <w:rPr>
                <w:rFonts w:asciiTheme="minorHAnsi" w:eastAsia="MS ??" w:hAnsiTheme="minorHAnsi" w:cstheme="minorBidi"/>
                <w:color w:val="FFC000"/>
                <w:szCs w:val="24"/>
              </w:rPr>
            </w:pPr>
            <w:r w:rsidRPr="35283E35">
              <w:rPr>
                <w:rFonts w:asciiTheme="minorHAnsi" w:eastAsia="MS ??" w:hAnsiTheme="minorHAnsi" w:cstheme="minorBidi"/>
                <w:color w:val="FFC000" w:themeColor="accent4"/>
                <w:szCs w:val="24"/>
              </w:rPr>
              <w:t>Service</w:t>
            </w:r>
          </w:p>
        </w:tc>
        <w:tc>
          <w:tcPr>
            <w:tcW w:w="6172" w:type="dxa"/>
            <w:gridSpan w:val="2"/>
            <w:vAlign w:val="center"/>
          </w:tcPr>
          <w:p w14:paraId="4E03AE60" w14:textId="307986B7" w:rsidR="009A44D3" w:rsidRPr="00072B22" w:rsidRDefault="00237261" w:rsidP="35283E35">
            <w:pPr>
              <w:suppressAutoHyphens w:val="0"/>
              <w:jc w:val="left"/>
              <w:rPr>
                <w:rFonts w:asciiTheme="minorHAnsi" w:eastAsia="MS ??" w:hAnsiTheme="minorHAnsi" w:cstheme="minorBidi"/>
                <w:b/>
                <w:bCs/>
                <w:szCs w:val="24"/>
              </w:rPr>
            </w:pPr>
            <w:r w:rsidRPr="35283E35">
              <w:rPr>
                <w:rFonts w:asciiTheme="minorHAnsi" w:eastAsia="MS ??" w:hAnsiTheme="minorHAnsi" w:cstheme="minorBidi"/>
                <w:b/>
                <w:bCs/>
                <w:szCs w:val="24"/>
              </w:rPr>
              <w:t>Long-Acting</w:t>
            </w:r>
            <w:r w:rsidR="009A44D3" w:rsidRPr="35283E35">
              <w:rPr>
                <w:rFonts w:asciiTheme="minorHAnsi" w:eastAsia="MS ??" w:hAnsiTheme="minorHAnsi" w:cstheme="minorBidi"/>
                <w:b/>
                <w:bCs/>
                <w:szCs w:val="24"/>
              </w:rPr>
              <w:t xml:space="preserve"> Reversible Contraception (LARC)</w:t>
            </w:r>
          </w:p>
        </w:tc>
      </w:tr>
      <w:tr w:rsidR="00AD5278" w:rsidRPr="00072B22" w14:paraId="307AE281" w14:textId="77777777" w:rsidTr="7E8D1FC9">
        <w:trPr>
          <w:trHeight w:val="345"/>
        </w:trPr>
        <w:tc>
          <w:tcPr>
            <w:tcW w:w="3073" w:type="dxa"/>
            <w:shd w:val="clear" w:color="auto" w:fill="767171" w:themeFill="background2" w:themeFillShade="80"/>
            <w:vAlign w:val="center"/>
          </w:tcPr>
          <w:p w14:paraId="4CE39EE6" w14:textId="77777777" w:rsidR="009A44D3" w:rsidRPr="00072B22" w:rsidRDefault="009A44D3" w:rsidP="35283E35">
            <w:pPr>
              <w:suppressAutoHyphens w:val="0"/>
              <w:jc w:val="left"/>
              <w:rPr>
                <w:rFonts w:asciiTheme="minorHAnsi" w:eastAsia="MS ??" w:hAnsiTheme="minorHAnsi" w:cstheme="minorBidi"/>
                <w:color w:val="FFC000"/>
                <w:szCs w:val="24"/>
              </w:rPr>
            </w:pPr>
            <w:r w:rsidRPr="35283E35">
              <w:rPr>
                <w:rFonts w:asciiTheme="minorHAnsi" w:eastAsia="MS ??" w:hAnsiTheme="minorHAnsi" w:cstheme="minorBidi"/>
                <w:color w:val="FFC000" w:themeColor="accent4"/>
                <w:szCs w:val="24"/>
              </w:rPr>
              <w:t>Authority Lead</w:t>
            </w:r>
          </w:p>
        </w:tc>
        <w:tc>
          <w:tcPr>
            <w:tcW w:w="6172" w:type="dxa"/>
            <w:gridSpan w:val="2"/>
            <w:vAlign w:val="center"/>
          </w:tcPr>
          <w:p w14:paraId="5353ACC1" w14:textId="77777777" w:rsidR="009A44D3" w:rsidRPr="00072B22" w:rsidRDefault="009A44D3" w:rsidP="35283E35">
            <w:pPr>
              <w:suppressAutoHyphens w:val="0"/>
              <w:jc w:val="left"/>
              <w:rPr>
                <w:rFonts w:asciiTheme="minorHAnsi" w:eastAsia="MS ??" w:hAnsiTheme="minorHAnsi" w:cstheme="minorBidi"/>
                <w:szCs w:val="24"/>
              </w:rPr>
            </w:pPr>
            <w:r w:rsidRPr="35283E35">
              <w:rPr>
                <w:rFonts w:asciiTheme="minorHAnsi" w:eastAsia="MS ??" w:hAnsiTheme="minorHAnsi" w:cstheme="minorBidi"/>
                <w:szCs w:val="24"/>
              </w:rPr>
              <w:t xml:space="preserve">Kate Blakley, </w:t>
            </w:r>
          </w:p>
          <w:p w14:paraId="4C1741BA" w14:textId="77777777" w:rsidR="009A44D3" w:rsidRPr="00072B22" w:rsidRDefault="009A44D3" w:rsidP="35283E35">
            <w:pPr>
              <w:suppressAutoHyphens w:val="0"/>
              <w:jc w:val="left"/>
              <w:rPr>
                <w:rFonts w:asciiTheme="minorHAnsi" w:eastAsia="MS ??" w:hAnsiTheme="minorHAnsi" w:cstheme="minorBidi"/>
                <w:szCs w:val="24"/>
              </w:rPr>
            </w:pPr>
            <w:r w:rsidRPr="35283E35">
              <w:rPr>
                <w:rFonts w:asciiTheme="minorHAnsi" w:eastAsia="MS ??" w:hAnsiTheme="minorHAnsi" w:cstheme="minorBidi"/>
                <w:szCs w:val="24"/>
              </w:rPr>
              <w:t xml:space="preserve">Sexual Heath Commissioning Manager, </w:t>
            </w:r>
          </w:p>
          <w:p w14:paraId="33415FB4" w14:textId="6BFBCC3B" w:rsidR="009A44D3" w:rsidRPr="00072B22" w:rsidRDefault="506BC883" w:rsidP="5160D0DF">
            <w:pPr>
              <w:suppressAutoHyphens w:val="0"/>
              <w:jc w:val="left"/>
              <w:rPr>
                <w:rFonts w:asciiTheme="minorHAnsi" w:eastAsia="MS ??" w:hAnsiTheme="minorHAnsi" w:cstheme="minorBidi"/>
              </w:rPr>
            </w:pPr>
            <w:r w:rsidRPr="5160D0DF">
              <w:rPr>
                <w:rFonts w:asciiTheme="minorHAnsi" w:eastAsia="MS ??" w:hAnsiTheme="minorHAnsi" w:cstheme="minorBidi"/>
              </w:rPr>
              <w:t>Healthy and Sustainable Communities</w:t>
            </w:r>
            <w:r w:rsidR="009A44D3" w:rsidRPr="5160D0DF">
              <w:rPr>
                <w:rFonts w:asciiTheme="minorHAnsi" w:eastAsia="MS ??" w:hAnsiTheme="minorHAnsi" w:cstheme="minorBidi"/>
              </w:rPr>
              <w:t xml:space="preserve">, </w:t>
            </w:r>
          </w:p>
          <w:p w14:paraId="6E013BC7" w14:textId="77777777" w:rsidR="009A44D3" w:rsidRPr="00072B22" w:rsidRDefault="009A44D3" w:rsidP="35283E35">
            <w:pPr>
              <w:suppressAutoHyphens w:val="0"/>
              <w:jc w:val="left"/>
              <w:rPr>
                <w:rFonts w:asciiTheme="minorHAnsi" w:eastAsia="MS ??" w:hAnsiTheme="minorHAnsi" w:cstheme="minorBidi"/>
                <w:szCs w:val="24"/>
              </w:rPr>
            </w:pPr>
            <w:r w:rsidRPr="5160D0DF">
              <w:rPr>
                <w:rFonts w:asciiTheme="minorHAnsi" w:eastAsia="MS ??" w:hAnsiTheme="minorHAnsi" w:cstheme="minorBidi"/>
              </w:rPr>
              <w:t>North Somerset Council</w:t>
            </w:r>
          </w:p>
          <w:p w14:paraId="1F77CCDF" w14:textId="77777777" w:rsidR="009A44D3" w:rsidRPr="00072B22" w:rsidRDefault="009A44D3" w:rsidP="5160D0DF">
            <w:pPr>
              <w:suppressAutoHyphens w:val="0"/>
              <w:jc w:val="left"/>
              <w:rPr>
                <w:rFonts w:asciiTheme="minorHAnsi" w:eastAsia="MS ??" w:hAnsiTheme="minorHAnsi" w:cstheme="minorBidi"/>
              </w:rPr>
            </w:pPr>
            <w:r w:rsidRPr="5160D0DF">
              <w:rPr>
                <w:rFonts w:asciiTheme="minorHAnsi" w:eastAsia="MS ??" w:hAnsiTheme="minorHAnsi" w:cstheme="minorBidi"/>
                <w:b/>
                <w:bCs/>
              </w:rPr>
              <w:t>Email:</w:t>
            </w:r>
            <w:r w:rsidRPr="5160D0DF">
              <w:rPr>
                <w:rFonts w:asciiTheme="minorHAnsi" w:eastAsia="MS ??" w:hAnsiTheme="minorHAnsi" w:cstheme="minorBidi"/>
              </w:rPr>
              <w:t xml:space="preserve"> </w:t>
            </w:r>
            <w:hyperlink r:id="rId12">
              <w:r w:rsidRPr="5160D0DF">
                <w:rPr>
                  <w:rStyle w:val="Hyperlink"/>
                  <w:rFonts w:asciiTheme="minorHAnsi" w:eastAsia="MS ??" w:hAnsiTheme="minorHAnsi" w:cstheme="minorBidi"/>
                </w:rPr>
                <w:t>kate.blakley@n-somerset.gov.uk</w:t>
              </w:r>
            </w:hyperlink>
            <w:r w:rsidRPr="5160D0DF">
              <w:rPr>
                <w:rFonts w:asciiTheme="minorHAnsi" w:eastAsia="MS ??" w:hAnsiTheme="minorHAnsi" w:cstheme="minorBidi"/>
              </w:rPr>
              <w:t xml:space="preserve"> </w:t>
            </w:r>
          </w:p>
          <w:p w14:paraId="51FB4B0C" w14:textId="4A856CD0" w:rsidR="009A44D3" w:rsidRPr="00072B22" w:rsidRDefault="009A44D3" w:rsidP="5160D0DF">
            <w:pPr>
              <w:suppressAutoHyphens w:val="0"/>
              <w:jc w:val="left"/>
              <w:rPr>
                <w:rFonts w:asciiTheme="minorHAnsi" w:eastAsia="MS ??" w:hAnsiTheme="minorHAnsi" w:cstheme="minorBidi"/>
              </w:rPr>
            </w:pPr>
            <w:r w:rsidRPr="5160D0DF">
              <w:rPr>
                <w:rFonts w:asciiTheme="minorHAnsi" w:eastAsia="MS ??" w:hAnsiTheme="minorHAnsi" w:cstheme="minorBidi"/>
                <w:b/>
                <w:bCs/>
              </w:rPr>
              <w:t xml:space="preserve">Post: </w:t>
            </w:r>
            <w:r w:rsidRPr="5160D0DF">
              <w:rPr>
                <w:rFonts w:asciiTheme="minorHAnsi" w:eastAsia="MS ??" w:hAnsiTheme="minorHAnsi" w:cstheme="minorBidi"/>
              </w:rPr>
              <w:t>Public Health,</w:t>
            </w:r>
            <w:r w:rsidR="67AFED22" w:rsidRPr="5160D0DF">
              <w:rPr>
                <w:rFonts w:asciiTheme="minorHAnsi" w:eastAsia="MS ??" w:hAnsiTheme="minorHAnsi" w:cstheme="minorBidi"/>
              </w:rPr>
              <w:t xml:space="preserve"> Town Hall, Walliscote Grove Road, Weston Super mare - BS23 1UJ </w:t>
            </w:r>
          </w:p>
        </w:tc>
      </w:tr>
      <w:tr w:rsidR="00AD5278" w:rsidRPr="00072B22" w14:paraId="21F14660" w14:textId="77777777" w:rsidTr="7E8D1FC9">
        <w:trPr>
          <w:trHeight w:val="345"/>
        </w:trPr>
        <w:tc>
          <w:tcPr>
            <w:tcW w:w="3073" w:type="dxa"/>
            <w:shd w:val="clear" w:color="auto" w:fill="767171" w:themeFill="background2" w:themeFillShade="80"/>
          </w:tcPr>
          <w:p w14:paraId="75502BDA" w14:textId="185D3E16" w:rsidR="009A44D3" w:rsidRPr="00072B22" w:rsidRDefault="065EBD80" w:rsidP="5160D0DF">
            <w:pPr>
              <w:suppressAutoHyphens w:val="0"/>
              <w:jc w:val="left"/>
              <w:rPr>
                <w:rFonts w:asciiTheme="minorHAnsi" w:hAnsiTheme="minorHAnsi" w:cstheme="minorBidi"/>
                <w:color w:val="FFC000"/>
              </w:rPr>
            </w:pPr>
            <w:r w:rsidRPr="5160D0DF">
              <w:rPr>
                <w:rFonts w:asciiTheme="minorHAnsi" w:hAnsiTheme="minorHAnsi" w:cstheme="minorBidi"/>
                <w:color w:val="FFC000" w:themeColor="accent4"/>
              </w:rPr>
              <w:t>Start date</w:t>
            </w:r>
          </w:p>
        </w:tc>
        <w:tc>
          <w:tcPr>
            <w:tcW w:w="6172" w:type="dxa"/>
            <w:gridSpan w:val="2"/>
            <w:vAlign w:val="center"/>
          </w:tcPr>
          <w:p w14:paraId="1FAF44DB" w14:textId="0E12112B" w:rsidR="009A44D3" w:rsidRPr="00072B22" w:rsidRDefault="009A44D3" w:rsidP="5160D0DF">
            <w:pPr>
              <w:suppressAutoHyphens w:val="0"/>
              <w:jc w:val="left"/>
              <w:rPr>
                <w:rFonts w:asciiTheme="minorHAnsi" w:eastAsia="MS ??" w:hAnsiTheme="minorHAnsi" w:cstheme="minorBidi"/>
              </w:rPr>
            </w:pPr>
            <w:r w:rsidRPr="5160D0DF">
              <w:rPr>
                <w:rFonts w:asciiTheme="minorHAnsi" w:eastAsia="MS ??" w:hAnsiTheme="minorHAnsi" w:cstheme="minorBidi"/>
              </w:rPr>
              <w:t>1st April 202</w:t>
            </w:r>
            <w:r w:rsidR="741731AB" w:rsidRPr="5160D0DF">
              <w:rPr>
                <w:rFonts w:asciiTheme="minorHAnsi" w:eastAsia="MS ??" w:hAnsiTheme="minorHAnsi" w:cstheme="minorBidi"/>
              </w:rPr>
              <w:t>6</w:t>
            </w:r>
            <w:r w:rsidRPr="5160D0DF">
              <w:rPr>
                <w:rFonts w:asciiTheme="minorHAnsi" w:eastAsia="MS ??" w:hAnsiTheme="minorHAnsi" w:cstheme="minorBidi"/>
              </w:rPr>
              <w:t xml:space="preserve"> </w:t>
            </w:r>
          </w:p>
        </w:tc>
      </w:tr>
      <w:tr w:rsidR="00AD5278" w:rsidRPr="00072B22" w14:paraId="2DED24DF" w14:textId="77777777" w:rsidTr="7E8D1FC9">
        <w:trPr>
          <w:trHeight w:val="345"/>
        </w:trPr>
        <w:tc>
          <w:tcPr>
            <w:tcW w:w="3073" w:type="dxa"/>
            <w:shd w:val="clear" w:color="auto" w:fill="767171" w:themeFill="background2" w:themeFillShade="80"/>
          </w:tcPr>
          <w:p w14:paraId="402588EC" w14:textId="77777777" w:rsidR="009A44D3" w:rsidRPr="00072B22" w:rsidRDefault="009A44D3" w:rsidP="35283E35">
            <w:pPr>
              <w:suppressAutoHyphens w:val="0"/>
              <w:jc w:val="left"/>
              <w:rPr>
                <w:rFonts w:asciiTheme="minorHAnsi" w:eastAsia="MS ??" w:hAnsiTheme="minorHAnsi" w:cstheme="minorBidi"/>
                <w:color w:val="FFC000"/>
                <w:szCs w:val="24"/>
              </w:rPr>
            </w:pPr>
            <w:r w:rsidRPr="35283E35">
              <w:rPr>
                <w:rFonts w:asciiTheme="minorHAnsi" w:hAnsiTheme="minorHAnsi" w:cstheme="minorBidi"/>
                <w:color w:val="FFC000" w:themeColor="accent4"/>
                <w:szCs w:val="24"/>
              </w:rPr>
              <w:t>Date of Review</w:t>
            </w:r>
          </w:p>
        </w:tc>
        <w:tc>
          <w:tcPr>
            <w:tcW w:w="6172" w:type="dxa"/>
            <w:gridSpan w:val="2"/>
            <w:vAlign w:val="center"/>
          </w:tcPr>
          <w:p w14:paraId="7B029A7A" w14:textId="7ABB2AC0" w:rsidR="009A44D3" w:rsidRPr="00072B22" w:rsidRDefault="42B86722" w:rsidP="5160D0DF">
            <w:pPr>
              <w:suppressAutoHyphens w:val="0"/>
              <w:jc w:val="left"/>
              <w:rPr>
                <w:rFonts w:asciiTheme="minorHAnsi" w:eastAsia="MS ??" w:hAnsiTheme="minorHAnsi" w:cstheme="minorBidi"/>
              </w:rPr>
            </w:pPr>
            <w:r w:rsidRPr="5160D0DF">
              <w:rPr>
                <w:rFonts w:asciiTheme="minorHAnsi" w:eastAsia="MS ??" w:hAnsiTheme="minorHAnsi" w:cstheme="minorBidi"/>
              </w:rPr>
              <w:t xml:space="preserve">Jan </w:t>
            </w:r>
            <w:r w:rsidR="009A44D3" w:rsidRPr="5160D0DF">
              <w:rPr>
                <w:rFonts w:asciiTheme="minorHAnsi" w:eastAsia="MS ??" w:hAnsiTheme="minorHAnsi" w:cstheme="minorBidi"/>
              </w:rPr>
              <w:t>202</w:t>
            </w:r>
            <w:r w:rsidR="6DA00188" w:rsidRPr="5160D0DF">
              <w:rPr>
                <w:rFonts w:asciiTheme="minorHAnsi" w:eastAsia="MS ??" w:hAnsiTheme="minorHAnsi" w:cstheme="minorBidi"/>
              </w:rPr>
              <w:t>7</w:t>
            </w:r>
          </w:p>
        </w:tc>
      </w:tr>
      <w:tr w:rsidR="00DD061A" w:rsidRPr="00072B22" w14:paraId="53CEA36C"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jc w:val="center"/>
        </w:trPr>
        <w:tc>
          <w:tcPr>
            <w:tcW w:w="9245" w:type="dxa"/>
            <w:gridSpan w:val="3"/>
            <w:tcBorders>
              <w:top w:val="single" w:sz="4" w:space="0" w:color="999999"/>
              <w:left w:val="single" w:sz="4" w:space="0" w:color="999999"/>
              <w:bottom w:val="single" w:sz="4" w:space="0" w:color="999999"/>
              <w:right w:val="single" w:sz="4" w:space="0" w:color="999999"/>
            </w:tcBorders>
            <w:shd w:val="clear" w:color="auto" w:fill="767171" w:themeFill="background2" w:themeFillShade="80"/>
            <w:vAlign w:val="center"/>
          </w:tcPr>
          <w:p w14:paraId="7DAC3DE0" w14:textId="77777777" w:rsidR="009A44D3" w:rsidRPr="00072B22" w:rsidRDefault="009A44D3" w:rsidP="35283E35">
            <w:pPr>
              <w:suppressAutoHyphens w:val="0"/>
              <w:jc w:val="left"/>
              <w:rPr>
                <w:rFonts w:asciiTheme="minorHAnsi" w:eastAsia="MS ??" w:hAnsiTheme="minorHAnsi" w:cstheme="minorBidi"/>
                <w:color w:val="FFC000"/>
                <w:szCs w:val="24"/>
              </w:rPr>
            </w:pPr>
            <w:r w:rsidRPr="35283E35">
              <w:rPr>
                <w:rFonts w:asciiTheme="minorHAnsi" w:eastAsia="MS ??" w:hAnsiTheme="minorHAnsi" w:cstheme="minorBidi"/>
                <w:color w:val="FFC000" w:themeColor="accent4"/>
                <w:szCs w:val="24"/>
              </w:rPr>
              <w:t>1.  Population Needs</w:t>
            </w:r>
          </w:p>
        </w:tc>
      </w:tr>
      <w:tr w:rsidR="008C2DBE" w:rsidRPr="00072B22" w14:paraId="5AA569D1"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5" w:type="dxa"/>
            <w:gridSpan w:val="3"/>
            <w:tcBorders>
              <w:top w:val="single" w:sz="4" w:space="0" w:color="999999"/>
              <w:left w:val="single" w:sz="4" w:space="0" w:color="999999"/>
              <w:bottom w:val="single" w:sz="4" w:space="0" w:color="999999"/>
              <w:right w:val="single" w:sz="4" w:space="0" w:color="999999"/>
            </w:tcBorders>
          </w:tcPr>
          <w:p w14:paraId="3960598D" w14:textId="77777777" w:rsidR="009A44D3" w:rsidRPr="00072B22" w:rsidRDefault="009A44D3" w:rsidP="35283E35">
            <w:pPr>
              <w:suppressAutoHyphens w:val="0"/>
              <w:jc w:val="left"/>
              <w:rPr>
                <w:rFonts w:asciiTheme="minorHAnsi" w:eastAsiaTheme="minorEastAsia" w:hAnsiTheme="minorHAnsi" w:cstheme="minorBidi"/>
                <w:b/>
                <w:bCs/>
                <w:color w:val="00B050"/>
                <w:szCs w:val="24"/>
              </w:rPr>
            </w:pPr>
            <w:r w:rsidRPr="35283E35">
              <w:rPr>
                <w:rFonts w:asciiTheme="minorHAnsi" w:eastAsiaTheme="minorEastAsia" w:hAnsiTheme="minorHAnsi" w:cstheme="minorBidi"/>
                <w:b/>
                <w:bCs/>
                <w:color w:val="00B050"/>
                <w:szCs w:val="24"/>
              </w:rPr>
              <w:t>1.1 Introduction</w:t>
            </w:r>
          </w:p>
          <w:p w14:paraId="6D8D4495" w14:textId="6633A59E" w:rsidR="006D371C" w:rsidRPr="00072B22" w:rsidRDefault="006D371C" w:rsidP="7E8D1FC9">
            <w:pPr>
              <w:jc w:val="left"/>
              <w:rPr>
                <w:rFonts w:asciiTheme="minorHAnsi" w:hAnsiTheme="minorHAnsi" w:cstheme="minorBidi"/>
              </w:rPr>
            </w:pPr>
            <w:r w:rsidRPr="7E8D1FC9">
              <w:rPr>
                <w:rFonts w:asciiTheme="minorHAnsi" w:hAnsiTheme="minorHAnsi" w:cstheme="minorBidi"/>
              </w:rPr>
              <w:t>Good sexual health should provide for a state of physical, emotional, mental and social wellbeing in relation to sexuality; not merely the absence of disease, dysfunction or infirmity</w:t>
            </w:r>
            <w:r w:rsidRPr="7E8D1FC9">
              <w:rPr>
                <w:rStyle w:val="FootnoteReference"/>
                <w:rFonts w:asciiTheme="minorHAnsi" w:hAnsiTheme="minorHAnsi" w:cstheme="minorBidi"/>
              </w:rPr>
              <w:footnoteReference w:id="2"/>
            </w:r>
            <w:r w:rsidRPr="7E8D1FC9">
              <w:rPr>
                <w:rFonts w:asciiTheme="minorHAnsi" w:hAnsiTheme="minorHAnsi" w:cstheme="minorBidi"/>
              </w:rPr>
              <w:t>. Improving the sexual health of the population is a public health priority at national</w:t>
            </w:r>
            <w:r w:rsidRPr="7E8D1FC9">
              <w:rPr>
                <w:rFonts w:asciiTheme="minorHAnsi" w:hAnsiTheme="minorHAnsi" w:cstheme="minorBidi"/>
                <w:vertAlign w:val="superscript"/>
              </w:rPr>
              <w:t>1</w:t>
            </w:r>
            <w:r w:rsidRPr="7E8D1FC9">
              <w:rPr>
                <w:rFonts w:asciiTheme="minorHAnsi" w:hAnsiTheme="minorHAnsi" w:cstheme="minorBidi"/>
              </w:rPr>
              <w:t>, regional, and local levels, and supports delivery of the ICS strategy</w:t>
            </w:r>
            <w:r w:rsidRPr="7E8D1FC9">
              <w:rPr>
                <w:rStyle w:val="FootnoteReference"/>
                <w:rFonts w:asciiTheme="minorHAnsi" w:hAnsiTheme="minorHAnsi" w:cstheme="minorBidi"/>
              </w:rPr>
              <w:footnoteReference w:id="3"/>
            </w:r>
            <w:r w:rsidRPr="7E8D1FC9">
              <w:rPr>
                <w:rFonts w:asciiTheme="minorHAnsi" w:hAnsiTheme="minorHAnsi" w:cstheme="minorBidi"/>
              </w:rPr>
              <w:t>, North Somerset’s Health and Wellbeing strategy</w:t>
            </w:r>
            <w:r w:rsidRPr="7E8D1FC9">
              <w:rPr>
                <w:rStyle w:val="FootnoteReference"/>
                <w:rFonts w:asciiTheme="minorHAnsi" w:hAnsiTheme="minorHAnsi" w:cstheme="minorBidi"/>
              </w:rPr>
              <w:footnoteReference w:id="4"/>
            </w:r>
            <w:r w:rsidRPr="7E8D1FC9">
              <w:rPr>
                <w:rFonts w:asciiTheme="minorHAnsi" w:hAnsiTheme="minorHAnsi" w:cstheme="minorBidi"/>
              </w:rPr>
              <w:t>, and North Somerset Councils Corporate plan</w:t>
            </w:r>
            <w:r w:rsidRPr="7E8D1FC9">
              <w:rPr>
                <w:rStyle w:val="FootnoteReference"/>
                <w:rFonts w:asciiTheme="minorHAnsi" w:hAnsiTheme="minorHAnsi" w:cstheme="minorBidi"/>
              </w:rPr>
              <w:footnoteReference w:id="5"/>
            </w:r>
            <w:r w:rsidRPr="7E8D1FC9">
              <w:rPr>
                <w:rFonts w:asciiTheme="minorHAnsi" w:hAnsiTheme="minorHAnsi" w:cstheme="minorBidi"/>
              </w:rPr>
              <w:t xml:space="preserve">. </w:t>
            </w:r>
          </w:p>
          <w:p w14:paraId="5F8CFCB7" w14:textId="77777777" w:rsidR="006D371C" w:rsidRPr="00072B22" w:rsidRDefault="006D371C" w:rsidP="35283E35">
            <w:pPr>
              <w:jc w:val="left"/>
              <w:rPr>
                <w:rFonts w:asciiTheme="minorHAnsi" w:hAnsiTheme="minorHAnsi" w:cstheme="minorBidi"/>
                <w:szCs w:val="24"/>
              </w:rPr>
            </w:pPr>
          </w:p>
          <w:p w14:paraId="09B0A62E" w14:textId="62D6DF09" w:rsidR="006D371C" w:rsidRPr="00072B22" w:rsidRDefault="006D371C" w:rsidP="35283E35">
            <w:pPr>
              <w:jc w:val="left"/>
              <w:rPr>
                <w:rFonts w:asciiTheme="minorHAnsi" w:hAnsiTheme="minorHAnsi" w:cstheme="minorBidi"/>
                <w:szCs w:val="24"/>
              </w:rPr>
            </w:pPr>
            <w:r w:rsidRPr="35283E35">
              <w:rPr>
                <w:rFonts w:asciiTheme="minorHAnsi" w:hAnsiTheme="minorHAnsi" w:cstheme="minorBidi"/>
                <w:szCs w:val="24"/>
              </w:rPr>
              <w:t>The provision of sexual health services is one of the mandated public health functions that local authorities have</w:t>
            </w:r>
            <w:r w:rsidRPr="35283E35">
              <w:rPr>
                <w:rStyle w:val="FootnoteReference"/>
                <w:rFonts w:asciiTheme="minorHAnsi" w:hAnsiTheme="minorHAnsi" w:cstheme="minorBidi"/>
                <w:szCs w:val="24"/>
              </w:rPr>
              <w:footnoteReference w:id="6"/>
            </w:r>
            <w:r w:rsidRPr="35283E35">
              <w:rPr>
                <w:rFonts w:asciiTheme="minorHAnsi" w:hAnsiTheme="minorHAnsi" w:cstheme="minorBidi"/>
                <w:szCs w:val="24"/>
              </w:rPr>
              <w:t>. This includes the provision of contraceptive services:</w:t>
            </w:r>
          </w:p>
          <w:p w14:paraId="40583E9B" w14:textId="72B62AD0" w:rsidR="009A44D3" w:rsidRPr="00072B22" w:rsidRDefault="009A44D3" w:rsidP="35283E35">
            <w:pPr>
              <w:pStyle w:val="ListParagraph"/>
              <w:numPr>
                <w:ilvl w:val="0"/>
                <w:numId w:val="15"/>
              </w:numPr>
              <w:spacing w:after="0" w:line="240" w:lineRule="auto"/>
              <w:rPr>
                <w:b/>
                <w:bCs/>
                <w:color w:val="00B050"/>
                <w:sz w:val="24"/>
                <w:szCs w:val="24"/>
              </w:rPr>
            </w:pPr>
            <w:r w:rsidRPr="35283E35">
              <w:rPr>
                <w:sz w:val="24"/>
                <w:szCs w:val="24"/>
              </w:rPr>
              <w:t xml:space="preserve">Women requiring contraception should be given information about, and offered, a choice of all methods including Long-Acting Reversible Contraception (LARC) methods. </w:t>
            </w:r>
          </w:p>
          <w:p w14:paraId="1466859F" w14:textId="661E8D99" w:rsidR="009A44D3" w:rsidRPr="00072B22" w:rsidRDefault="009A44D3" w:rsidP="35283E35">
            <w:pPr>
              <w:pStyle w:val="ListParagraph"/>
              <w:numPr>
                <w:ilvl w:val="0"/>
                <w:numId w:val="15"/>
              </w:numPr>
              <w:spacing w:after="0" w:line="240" w:lineRule="auto"/>
              <w:rPr>
                <w:b/>
                <w:bCs/>
                <w:color w:val="00B050"/>
                <w:sz w:val="24"/>
                <w:szCs w:val="24"/>
              </w:rPr>
            </w:pPr>
            <w:r w:rsidRPr="35283E35">
              <w:rPr>
                <w:sz w:val="24"/>
                <w:szCs w:val="24"/>
              </w:rPr>
              <w:t xml:space="preserve">This includes </w:t>
            </w:r>
            <w:r w:rsidRPr="35283E35">
              <w:rPr>
                <w:sz w:val="24"/>
                <w:szCs w:val="24"/>
                <w:lang w:eastAsia="en-GB"/>
              </w:rPr>
              <w:t xml:space="preserve">sub-dermal </w:t>
            </w:r>
            <w:r w:rsidRPr="35283E35">
              <w:rPr>
                <w:sz w:val="24"/>
                <w:szCs w:val="24"/>
              </w:rPr>
              <w:t xml:space="preserve">implants (SDI), and </w:t>
            </w:r>
            <w:r w:rsidRPr="35283E35">
              <w:rPr>
                <w:rStyle w:val="normaltextrun"/>
                <w:color w:val="000000"/>
                <w:sz w:val="24"/>
                <w:szCs w:val="24"/>
                <w:shd w:val="clear" w:color="auto" w:fill="FFFFFF"/>
              </w:rPr>
              <w:t>intra-uterine contraception (I</w:t>
            </w:r>
            <w:r w:rsidR="680F459F" w:rsidRPr="35283E35">
              <w:rPr>
                <w:rStyle w:val="normaltextrun"/>
                <w:color w:val="000000"/>
                <w:sz w:val="24"/>
                <w:szCs w:val="24"/>
                <w:shd w:val="clear" w:color="auto" w:fill="FFFFFF"/>
              </w:rPr>
              <w:t>U</w:t>
            </w:r>
            <w:r w:rsidRPr="35283E35">
              <w:rPr>
                <w:rStyle w:val="normaltextrun"/>
                <w:color w:val="000000"/>
                <w:sz w:val="24"/>
                <w:szCs w:val="24"/>
                <w:shd w:val="clear" w:color="auto" w:fill="FFFFFF"/>
              </w:rPr>
              <w:t>C) (</w:t>
            </w:r>
            <w:r w:rsidRPr="35283E35">
              <w:rPr>
                <w:sz w:val="24"/>
                <w:szCs w:val="24"/>
              </w:rPr>
              <w:t>the intra-uterine systems (IUS) and intrauterine devices (IUD).</w:t>
            </w:r>
          </w:p>
          <w:p w14:paraId="3C20D8EA" w14:textId="3371896C" w:rsidR="009A44D3" w:rsidRPr="00072B22" w:rsidRDefault="009A44D3" w:rsidP="35283E35">
            <w:pPr>
              <w:pStyle w:val="ListParagraph"/>
              <w:numPr>
                <w:ilvl w:val="0"/>
                <w:numId w:val="15"/>
              </w:numPr>
              <w:spacing w:after="0" w:line="240" w:lineRule="auto"/>
              <w:rPr>
                <w:b/>
                <w:bCs/>
                <w:color w:val="00B050"/>
                <w:sz w:val="24"/>
                <w:szCs w:val="24"/>
              </w:rPr>
            </w:pPr>
            <w:r w:rsidRPr="2DE5B732">
              <w:rPr>
                <w:sz w:val="24"/>
                <w:szCs w:val="24"/>
              </w:rPr>
              <w:t xml:space="preserve">LARC methods are the most effective forms of </w:t>
            </w:r>
            <w:r w:rsidR="32EDF62D" w:rsidRPr="2DE5B732">
              <w:rPr>
                <w:sz w:val="24"/>
                <w:szCs w:val="24"/>
              </w:rPr>
              <w:t>contraception and</w:t>
            </w:r>
            <w:r w:rsidRPr="2DE5B732">
              <w:rPr>
                <w:sz w:val="24"/>
                <w:szCs w:val="24"/>
              </w:rPr>
              <w:t xml:space="preserve"> are more effective at preventing pregnancy than other hormonal methods, and much more effective than condoms (</w:t>
            </w:r>
            <w:hyperlink r:id="rId13">
              <w:r w:rsidRPr="2DE5B732">
                <w:rPr>
                  <w:rStyle w:val="Hyperlink"/>
                  <w:sz w:val="24"/>
                  <w:szCs w:val="24"/>
                </w:rPr>
                <w:t xml:space="preserve">NICE CG30 updated 2019, NICE Contraceptive – assessment Comparative effectiveness of contraceptive methods 2022 </w:t>
              </w:r>
            </w:hyperlink>
            <w:r w:rsidRPr="2DE5B732">
              <w:rPr>
                <w:sz w:val="24"/>
                <w:szCs w:val="24"/>
              </w:rPr>
              <w:t>).</w:t>
            </w:r>
          </w:p>
          <w:p w14:paraId="532E4CAB" w14:textId="64819A23" w:rsidR="009A44D3" w:rsidRPr="00072B22" w:rsidRDefault="009A44D3" w:rsidP="35283E35">
            <w:pPr>
              <w:pStyle w:val="ListParagraph"/>
              <w:numPr>
                <w:ilvl w:val="0"/>
                <w:numId w:val="15"/>
              </w:numPr>
              <w:spacing w:after="0" w:line="240" w:lineRule="auto"/>
              <w:rPr>
                <w:b/>
                <w:bCs/>
                <w:color w:val="00B050"/>
                <w:sz w:val="24"/>
                <w:szCs w:val="24"/>
              </w:rPr>
            </w:pPr>
            <w:r w:rsidRPr="35283E35">
              <w:rPr>
                <w:sz w:val="24"/>
                <w:szCs w:val="24"/>
                <w:lang w:eastAsia="en-GB"/>
              </w:rPr>
              <w:lastRenderedPageBreak/>
              <w:t xml:space="preserve">All currently available LARC methods (copper intrauterine devices, intrauterine systems, injectable contraceptives, and sub-dermal implants are more cost effective than the combined oral contraceptive pill </w:t>
            </w:r>
            <w:r w:rsidRPr="35283E35">
              <w:rPr>
                <w:sz w:val="24"/>
                <w:szCs w:val="24"/>
              </w:rPr>
              <w:t>even</w:t>
            </w:r>
            <w:r w:rsidRPr="35283E35">
              <w:rPr>
                <w:sz w:val="24"/>
                <w:szCs w:val="24"/>
                <w:lang w:eastAsia="en-GB"/>
              </w:rPr>
              <w:t xml:space="preserve"> at only 1 year of use.</w:t>
            </w:r>
          </w:p>
          <w:p w14:paraId="324016C9" w14:textId="77777777" w:rsidR="009A44D3" w:rsidRPr="00072B22" w:rsidRDefault="009A44D3" w:rsidP="35283E35">
            <w:pPr>
              <w:pStyle w:val="ListParagraph"/>
              <w:numPr>
                <w:ilvl w:val="0"/>
                <w:numId w:val="15"/>
              </w:numPr>
              <w:spacing w:after="0" w:line="240" w:lineRule="auto"/>
              <w:rPr>
                <w:b/>
                <w:bCs/>
                <w:color w:val="00B050"/>
                <w:sz w:val="24"/>
                <w:szCs w:val="24"/>
              </w:rPr>
            </w:pPr>
            <w:r w:rsidRPr="35283E35">
              <w:rPr>
                <w:sz w:val="24"/>
                <w:szCs w:val="24"/>
                <w:lang w:eastAsia="en-GB"/>
              </w:rPr>
              <w:t>Copper intrauterine devices, intrauterine systems and subdermal implants are more cost effective than the injectable contraceptive.</w:t>
            </w:r>
          </w:p>
          <w:p w14:paraId="5FB6EE9D" w14:textId="77777777" w:rsidR="009A44D3" w:rsidRPr="00072B22" w:rsidRDefault="009A44D3" w:rsidP="35283E35">
            <w:pPr>
              <w:pStyle w:val="ListParagraph"/>
              <w:numPr>
                <w:ilvl w:val="0"/>
                <w:numId w:val="15"/>
              </w:numPr>
              <w:spacing w:after="0" w:line="240" w:lineRule="auto"/>
              <w:rPr>
                <w:b/>
                <w:bCs/>
                <w:color w:val="00B050"/>
                <w:sz w:val="24"/>
                <w:szCs w:val="24"/>
              </w:rPr>
            </w:pPr>
            <w:r w:rsidRPr="35283E35">
              <w:rPr>
                <w:sz w:val="24"/>
                <w:szCs w:val="24"/>
              </w:rPr>
              <w:t>An increase in the provision of LARC is a proxy measure for wider access to the range of possible contraceptive methods and should lead to a reduction in rates of unintended pregnancy.</w:t>
            </w:r>
          </w:p>
          <w:p w14:paraId="53437751" w14:textId="77777777" w:rsidR="004B6505" w:rsidRPr="00072B22" w:rsidRDefault="004B6505" w:rsidP="35283E35">
            <w:pPr>
              <w:jc w:val="left"/>
              <w:rPr>
                <w:rFonts w:asciiTheme="minorHAnsi" w:hAnsiTheme="minorHAnsi" w:cstheme="minorBidi"/>
                <w:b/>
                <w:bCs/>
                <w:color w:val="00B050"/>
                <w:szCs w:val="24"/>
              </w:rPr>
            </w:pPr>
          </w:p>
          <w:p w14:paraId="289F4BA3" w14:textId="2951E489" w:rsidR="009A44D3" w:rsidRPr="00072B22" w:rsidRDefault="009A44D3" w:rsidP="35283E35">
            <w:pPr>
              <w:suppressAutoHyphens w:val="0"/>
              <w:jc w:val="left"/>
              <w:rPr>
                <w:rFonts w:asciiTheme="minorHAnsi" w:eastAsiaTheme="minorEastAsia" w:hAnsiTheme="minorHAnsi" w:cstheme="minorBidi"/>
                <w:color w:val="00B050"/>
                <w:szCs w:val="24"/>
              </w:rPr>
            </w:pPr>
            <w:r w:rsidRPr="35283E35">
              <w:rPr>
                <w:rFonts w:asciiTheme="minorHAnsi" w:eastAsiaTheme="minorEastAsia" w:hAnsiTheme="minorHAnsi" w:cstheme="minorBidi"/>
                <w:b/>
                <w:bCs/>
                <w:color w:val="00B050"/>
                <w:szCs w:val="24"/>
              </w:rPr>
              <w:t xml:space="preserve">1.2 </w:t>
            </w:r>
            <w:r w:rsidR="00F624F6" w:rsidRPr="35283E35">
              <w:rPr>
                <w:rFonts w:asciiTheme="minorHAnsi" w:eastAsiaTheme="minorEastAsia" w:hAnsiTheme="minorHAnsi" w:cstheme="minorBidi"/>
                <w:b/>
                <w:bCs/>
                <w:color w:val="00B050"/>
                <w:szCs w:val="24"/>
              </w:rPr>
              <w:t>N</w:t>
            </w:r>
            <w:r w:rsidRPr="35283E35">
              <w:rPr>
                <w:rFonts w:asciiTheme="minorHAnsi" w:eastAsiaTheme="minorEastAsia" w:hAnsiTheme="minorHAnsi" w:cstheme="minorBidi"/>
                <w:b/>
                <w:bCs/>
                <w:color w:val="00B050"/>
                <w:szCs w:val="24"/>
              </w:rPr>
              <w:t xml:space="preserve">ational </w:t>
            </w:r>
            <w:r w:rsidR="00F624F6" w:rsidRPr="35283E35">
              <w:rPr>
                <w:rFonts w:asciiTheme="minorHAnsi" w:eastAsiaTheme="minorEastAsia" w:hAnsiTheme="minorHAnsi" w:cstheme="minorBidi"/>
                <w:b/>
                <w:bCs/>
                <w:color w:val="00B050"/>
                <w:szCs w:val="24"/>
              </w:rPr>
              <w:t xml:space="preserve">and local </w:t>
            </w:r>
            <w:r w:rsidRPr="35283E35">
              <w:rPr>
                <w:rFonts w:asciiTheme="minorHAnsi" w:eastAsiaTheme="minorEastAsia" w:hAnsiTheme="minorHAnsi" w:cstheme="minorBidi"/>
                <w:b/>
                <w:bCs/>
                <w:color w:val="00B050"/>
                <w:szCs w:val="24"/>
              </w:rPr>
              <w:t>context</w:t>
            </w:r>
            <w:r w:rsidR="00A567F4" w:rsidRPr="35283E35">
              <w:rPr>
                <w:rFonts w:asciiTheme="minorHAnsi" w:eastAsiaTheme="minorEastAsia" w:hAnsiTheme="minorHAnsi" w:cstheme="minorBidi"/>
                <w:b/>
                <w:bCs/>
                <w:color w:val="00B050"/>
                <w:szCs w:val="24"/>
              </w:rPr>
              <w:t xml:space="preserve"> </w:t>
            </w:r>
            <w:r w:rsidR="00A567F4" w:rsidRPr="35283E35">
              <w:rPr>
                <w:rStyle w:val="FootnoteReference"/>
                <w:rFonts w:asciiTheme="minorHAnsi" w:eastAsiaTheme="minorEastAsia" w:hAnsiTheme="minorHAnsi" w:cstheme="minorBidi"/>
                <w:szCs w:val="24"/>
              </w:rPr>
              <w:footnoteReference w:id="7"/>
            </w:r>
            <w:r w:rsidR="00A567F4" w:rsidRPr="35283E35">
              <w:rPr>
                <w:rStyle w:val="FootnoteReference"/>
                <w:rFonts w:asciiTheme="minorHAnsi" w:hAnsiTheme="minorHAnsi" w:cstheme="minorBidi"/>
                <w:szCs w:val="24"/>
                <w:lang w:eastAsia="en-GB"/>
              </w:rPr>
              <w:t>,</w:t>
            </w:r>
          </w:p>
          <w:p w14:paraId="02257799" w14:textId="12EDE6E0" w:rsidR="009A44D3" w:rsidRPr="00072B22" w:rsidRDefault="00617FFA" w:rsidP="35283E35">
            <w:pPr>
              <w:pStyle w:val="ListParagraph"/>
              <w:numPr>
                <w:ilvl w:val="0"/>
                <w:numId w:val="15"/>
              </w:numPr>
              <w:spacing w:after="0" w:line="240" w:lineRule="auto"/>
              <w:rPr>
                <w:sz w:val="24"/>
                <w:szCs w:val="24"/>
              </w:rPr>
            </w:pPr>
            <w:r w:rsidRPr="00617FFA">
              <w:rPr>
                <w:sz w:val="24"/>
                <w:szCs w:val="24"/>
              </w:rPr>
              <w:t xml:space="preserve">The </w:t>
            </w:r>
            <w:r>
              <w:rPr>
                <w:sz w:val="24"/>
                <w:szCs w:val="24"/>
              </w:rPr>
              <w:t xml:space="preserve">LARC </w:t>
            </w:r>
            <w:r w:rsidRPr="00617FFA">
              <w:rPr>
                <w:sz w:val="24"/>
                <w:szCs w:val="24"/>
              </w:rPr>
              <w:t>rate prescribed in primary care was 67.4 in North Somerset, higher than the rate of 25.6 in England.</w:t>
            </w:r>
            <w:r w:rsidR="009A44D3" w:rsidRPr="35283E35">
              <w:rPr>
                <w:sz w:val="24"/>
                <w:szCs w:val="24"/>
              </w:rPr>
              <w:t xml:space="preserve"> </w:t>
            </w:r>
          </w:p>
          <w:p w14:paraId="3A0A3903" w14:textId="57E9D6E8" w:rsidR="00081FD5" w:rsidRPr="00081FD5" w:rsidRDefault="00081FD5" w:rsidP="35283E35">
            <w:pPr>
              <w:numPr>
                <w:ilvl w:val="0"/>
                <w:numId w:val="15"/>
              </w:numPr>
              <w:shd w:val="clear" w:color="auto" w:fill="FFFFFF" w:themeFill="background1"/>
              <w:suppressAutoHyphens w:val="0"/>
              <w:spacing w:before="113" w:after="113"/>
              <w:jc w:val="left"/>
              <w:rPr>
                <w:rFonts w:asciiTheme="minorHAnsi" w:hAnsiTheme="minorHAnsi" w:cstheme="minorBidi"/>
                <w:color w:val="222222"/>
                <w:szCs w:val="24"/>
                <w:lang w:eastAsia="en-GB"/>
              </w:rPr>
            </w:pPr>
            <w:r w:rsidRPr="35283E35">
              <w:rPr>
                <w:rFonts w:asciiTheme="minorHAnsi" w:hAnsiTheme="minorHAnsi" w:cstheme="minorBidi"/>
                <w:color w:val="222222"/>
                <w:szCs w:val="24"/>
                <w:lang w:eastAsia="en-GB"/>
              </w:rPr>
              <w:t>In 2022/23, the </w:t>
            </w:r>
            <w:r w:rsidRPr="00BA750E">
              <w:rPr>
                <w:rFonts w:asciiTheme="minorHAnsi" w:hAnsiTheme="minorHAnsi" w:cstheme="minorBidi"/>
                <w:color w:val="222222"/>
                <w:szCs w:val="24"/>
                <w:lang w:eastAsia="en-GB"/>
              </w:rPr>
              <w:t>percentage of births to mothers under 18 years</w:t>
            </w:r>
            <w:r w:rsidRPr="35283E35">
              <w:rPr>
                <w:rFonts w:asciiTheme="minorHAnsi" w:hAnsiTheme="minorHAnsi" w:cstheme="minorBidi"/>
                <w:color w:val="222222"/>
                <w:szCs w:val="24"/>
                <w:lang w:eastAsia="en-GB"/>
              </w:rPr>
              <w:t> was 0.6%, </w:t>
            </w:r>
            <w:r w:rsidR="009208C6">
              <w:rPr>
                <w:rFonts w:asciiTheme="minorHAnsi" w:hAnsiTheme="minorHAnsi" w:cstheme="minorBidi"/>
                <w:color w:val="222222"/>
                <w:szCs w:val="24"/>
                <w:lang w:eastAsia="en-GB"/>
              </w:rPr>
              <w:t xml:space="preserve">same as </w:t>
            </w:r>
            <w:r w:rsidRPr="35283E35">
              <w:rPr>
                <w:rFonts w:asciiTheme="minorHAnsi" w:hAnsiTheme="minorHAnsi" w:cstheme="minorBidi"/>
                <w:color w:val="222222"/>
                <w:szCs w:val="24"/>
                <w:lang w:eastAsia="en-GB"/>
              </w:rPr>
              <w:t>0.6% in England overall.</w:t>
            </w:r>
          </w:p>
          <w:p w14:paraId="0BC83021" w14:textId="7E11A0C9" w:rsidR="009A44D3" w:rsidRPr="00072B22" w:rsidRDefault="009A44D3" w:rsidP="35283E35">
            <w:pPr>
              <w:pStyle w:val="ListParagraph"/>
              <w:numPr>
                <w:ilvl w:val="0"/>
                <w:numId w:val="15"/>
              </w:numPr>
              <w:spacing w:after="0" w:line="240" w:lineRule="auto"/>
              <w:rPr>
                <w:sz w:val="24"/>
                <w:szCs w:val="24"/>
              </w:rPr>
            </w:pPr>
            <w:r w:rsidRPr="35283E35">
              <w:rPr>
                <w:color w:val="000000" w:themeColor="text1"/>
                <w:sz w:val="24"/>
                <w:szCs w:val="24"/>
                <w:lang w:eastAsia="en-GB"/>
              </w:rPr>
              <w:t>The total abortion rate per 1,000 female population aged 15 to 44 years in 2021 was 1</w:t>
            </w:r>
            <w:r w:rsidR="0059386E" w:rsidRPr="35283E35">
              <w:rPr>
                <w:color w:val="000000" w:themeColor="text1"/>
                <w:sz w:val="24"/>
                <w:szCs w:val="24"/>
                <w:lang w:eastAsia="en-GB"/>
              </w:rPr>
              <w:t>5.9</w:t>
            </w:r>
            <w:r w:rsidRPr="35283E35">
              <w:rPr>
                <w:color w:val="000000" w:themeColor="text1"/>
                <w:sz w:val="24"/>
                <w:szCs w:val="24"/>
                <w:lang w:eastAsia="en-GB"/>
              </w:rPr>
              <w:t> in North Somerset, an increase in all age groups, but lower than the England rate of </w:t>
            </w:r>
            <w:r w:rsidR="0059386E" w:rsidRPr="35283E35">
              <w:rPr>
                <w:color w:val="000000" w:themeColor="text1"/>
                <w:sz w:val="24"/>
                <w:szCs w:val="24"/>
                <w:lang w:eastAsia="en-GB"/>
              </w:rPr>
              <w:t>19.2</w:t>
            </w:r>
            <w:r w:rsidRPr="35283E35">
              <w:rPr>
                <w:color w:val="000000" w:themeColor="text1"/>
                <w:sz w:val="24"/>
                <w:szCs w:val="24"/>
                <w:lang w:eastAsia="en-GB"/>
              </w:rPr>
              <w:t xml:space="preserve"> per 1,000. Repeat abortions continued to increase in 2021, </w:t>
            </w:r>
            <w:r w:rsidR="0059386E" w:rsidRPr="35283E35">
              <w:rPr>
                <w:color w:val="000000" w:themeColor="text1"/>
                <w:sz w:val="24"/>
                <w:szCs w:val="24"/>
                <w:lang w:eastAsia="en-GB"/>
              </w:rPr>
              <w:t>25.8</w:t>
            </w:r>
            <w:r w:rsidRPr="35283E35">
              <w:rPr>
                <w:color w:val="000000" w:themeColor="text1"/>
                <w:sz w:val="24"/>
                <w:szCs w:val="24"/>
                <w:lang w:eastAsia="en-GB"/>
              </w:rPr>
              <w:t>% in North Somerset, </w:t>
            </w:r>
            <w:r w:rsidR="00B0553F" w:rsidRPr="35283E35">
              <w:rPr>
                <w:color w:val="000000" w:themeColor="text1"/>
                <w:sz w:val="24"/>
                <w:szCs w:val="24"/>
                <w:lang w:eastAsia="en-GB"/>
              </w:rPr>
              <w:t xml:space="preserve">similar </w:t>
            </w:r>
            <w:r w:rsidRPr="35283E35">
              <w:rPr>
                <w:color w:val="000000" w:themeColor="text1"/>
                <w:sz w:val="24"/>
                <w:szCs w:val="24"/>
                <w:lang w:eastAsia="en-GB"/>
              </w:rPr>
              <w:t xml:space="preserve">to </w:t>
            </w:r>
            <w:r w:rsidR="0059386E" w:rsidRPr="35283E35">
              <w:rPr>
                <w:color w:val="000000" w:themeColor="text1"/>
                <w:sz w:val="24"/>
                <w:szCs w:val="24"/>
                <w:lang w:eastAsia="en-GB"/>
              </w:rPr>
              <w:t>29.7</w:t>
            </w:r>
            <w:r w:rsidRPr="35283E35">
              <w:rPr>
                <w:color w:val="000000" w:themeColor="text1"/>
                <w:sz w:val="24"/>
                <w:szCs w:val="24"/>
                <w:lang w:eastAsia="en-GB"/>
              </w:rPr>
              <w:t>% England.</w:t>
            </w:r>
            <w:r w:rsidR="005B4637" w:rsidRPr="35283E35">
              <w:rPr>
                <w:color w:val="000000" w:themeColor="text1"/>
                <w:sz w:val="24"/>
                <w:szCs w:val="24"/>
                <w:vertAlign w:val="superscript"/>
                <w:lang w:eastAsia="en-GB"/>
              </w:rPr>
              <w:t>6</w:t>
            </w:r>
          </w:p>
          <w:p w14:paraId="609F4EF8" w14:textId="77777777" w:rsidR="004B6505" w:rsidRPr="00072B22" w:rsidRDefault="004B6505" w:rsidP="35283E35">
            <w:pPr>
              <w:jc w:val="left"/>
              <w:rPr>
                <w:rFonts w:asciiTheme="minorHAnsi" w:hAnsiTheme="minorHAnsi" w:cstheme="minorBidi"/>
                <w:szCs w:val="24"/>
              </w:rPr>
            </w:pPr>
          </w:p>
        </w:tc>
      </w:tr>
      <w:tr w:rsidR="00DD061A" w:rsidRPr="00072B22" w14:paraId="2BAE4D59"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jc w:val="center"/>
        </w:trPr>
        <w:tc>
          <w:tcPr>
            <w:tcW w:w="9245" w:type="dxa"/>
            <w:gridSpan w:val="3"/>
            <w:tcBorders>
              <w:top w:val="single" w:sz="4" w:space="0" w:color="999999"/>
              <w:left w:val="single" w:sz="4" w:space="0" w:color="999999"/>
              <w:bottom w:val="single" w:sz="4" w:space="0" w:color="999999"/>
              <w:right w:val="single" w:sz="4" w:space="0" w:color="999999"/>
            </w:tcBorders>
            <w:shd w:val="clear" w:color="auto" w:fill="767171" w:themeFill="background2" w:themeFillShade="80"/>
            <w:vAlign w:val="center"/>
          </w:tcPr>
          <w:p w14:paraId="16D95C15" w14:textId="496D3854" w:rsidR="009A44D3" w:rsidRPr="00072B22" w:rsidRDefault="009A44D3" w:rsidP="35283E35">
            <w:pPr>
              <w:suppressAutoHyphens w:val="0"/>
              <w:jc w:val="left"/>
              <w:rPr>
                <w:rFonts w:asciiTheme="minorHAnsi" w:eastAsia="MS ??" w:hAnsiTheme="minorHAnsi" w:cstheme="minorBidi"/>
                <w:color w:val="FFC000"/>
                <w:szCs w:val="24"/>
              </w:rPr>
            </w:pPr>
            <w:r w:rsidRPr="35283E35">
              <w:rPr>
                <w:rFonts w:asciiTheme="minorHAnsi" w:eastAsia="MS ??" w:hAnsiTheme="minorHAnsi" w:cstheme="minorBidi"/>
                <w:color w:val="FFC000" w:themeColor="accent4"/>
                <w:szCs w:val="24"/>
              </w:rPr>
              <w:lastRenderedPageBreak/>
              <w:t>2. Aims</w:t>
            </w:r>
            <w:r w:rsidR="000D6C67" w:rsidRPr="35283E35">
              <w:rPr>
                <w:rFonts w:asciiTheme="minorHAnsi" w:eastAsia="MS ??" w:hAnsiTheme="minorHAnsi" w:cstheme="minorBidi"/>
                <w:color w:val="FFC000" w:themeColor="accent4"/>
                <w:szCs w:val="24"/>
              </w:rPr>
              <w:t xml:space="preserve"> and Service Delivery</w:t>
            </w:r>
          </w:p>
        </w:tc>
      </w:tr>
      <w:tr w:rsidR="008C2DBE" w:rsidRPr="00072B22" w14:paraId="4421B388"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5" w:type="dxa"/>
            <w:gridSpan w:val="3"/>
            <w:tcBorders>
              <w:top w:val="single" w:sz="4" w:space="0" w:color="999999"/>
              <w:left w:val="single" w:sz="4" w:space="0" w:color="999999"/>
              <w:bottom w:val="single" w:sz="4" w:space="0" w:color="999999"/>
              <w:right w:val="single" w:sz="4" w:space="0" w:color="999999"/>
            </w:tcBorders>
          </w:tcPr>
          <w:p w14:paraId="43143E0C" w14:textId="77777777" w:rsidR="009A44D3" w:rsidRPr="00072B22" w:rsidRDefault="009A44D3" w:rsidP="35283E35">
            <w:pPr>
              <w:suppressAutoHyphens w:val="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2.1 Aims</w:t>
            </w:r>
          </w:p>
          <w:p w14:paraId="7A9D236E" w14:textId="128F9407"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Increase choice and access to all contraception methods for women in North Somerset GP practices</w:t>
            </w:r>
            <w:r w:rsidR="004B6505" w:rsidRPr="35283E35">
              <w:rPr>
                <w:rFonts w:asciiTheme="minorHAnsi" w:eastAsiaTheme="minorEastAsia" w:hAnsiTheme="minorHAnsi" w:cstheme="minorBidi"/>
                <w:szCs w:val="24"/>
              </w:rPr>
              <w:t>.</w:t>
            </w:r>
          </w:p>
          <w:p w14:paraId="79652154" w14:textId="292E85E5"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To increase LARC uptake as the most effective means of contraception</w:t>
            </w:r>
            <w:r w:rsidRPr="35283E35">
              <w:rPr>
                <w:rFonts w:asciiTheme="minorHAnsi" w:hAnsiTheme="minorHAnsi" w:cstheme="minorBidi"/>
                <w:szCs w:val="24"/>
              </w:rPr>
              <w:t xml:space="preserve"> particularly in women aged under-25</w:t>
            </w:r>
            <w:r w:rsidR="004B6505" w:rsidRPr="35283E35">
              <w:rPr>
                <w:rFonts w:asciiTheme="minorHAnsi" w:hAnsiTheme="minorHAnsi" w:cstheme="minorBidi"/>
                <w:szCs w:val="24"/>
              </w:rPr>
              <w:t>.</w:t>
            </w:r>
          </w:p>
          <w:p w14:paraId="37BC82C9" w14:textId="63DFB55C"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To increase LARC uptake as a cost-effective means of contraception</w:t>
            </w:r>
            <w:r w:rsidR="004B6505" w:rsidRPr="35283E35">
              <w:rPr>
                <w:rFonts w:asciiTheme="minorHAnsi" w:eastAsiaTheme="minorEastAsia" w:hAnsiTheme="minorHAnsi" w:cstheme="minorBidi"/>
                <w:szCs w:val="24"/>
              </w:rPr>
              <w:t>.</w:t>
            </w:r>
            <w:r w:rsidRPr="35283E35">
              <w:rPr>
                <w:rFonts w:asciiTheme="minorHAnsi" w:eastAsiaTheme="minorEastAsia" w:hAnsiTheme="minorHAnsi" w:cstheme="minorBidi"/>
                <w:szCs w:val="24"/>
              </w:rPr>
              <w:t xml:space="preserve"> </w:t>
            </w:r>
          </w:p>
          <w:p w14:paraId="55F228D1" w14:textId="78D37941"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Ensure the availability of post-coital fitting for emergency contraception</w:t>
            </w:r>
            <w:r w:rsidR="004B6505" w:rsidRPr="35283E35">
              <w:rPr>
                <w:rFonts w:asciiTheme="minorHAnsi" w:eastAsiaTheme="minorEastAsia" w:hAnsiTheme="minorHAnsi" w:cstheme="minorBidi"/>
                <w:szCs w:val="24"/>
              </w:rPr>
              <w:t>.</w:t>
            </w:r>
          </w:p>
          <w:p w14:paraId="646DD28D" w14:textId="77777777" w:rsidR="004B6505" w:rsidRPr="00072B22" w:rsidRDefault="004B6505" w:rsidP="35283E35">
            <w:pPr>
              <w:keepNext/>
              <w:suppressAutoHyphens w:val="0"/>
              <w:jc w:val="left"/>
              <w:rPr>
                <w:rFonts w:asciiTheme="minorHAnsi" w:eastAsiaTheme="minorEastAsia" w:hAnsiTheme="minorHAnsi" w:cstheme="minorBidi"/>
                <w:b/>
                <w:bCs/>
                <w:color w:val="339966"/>
                <w:szCs w:val="24"/>
              </w:rPr>
            </w:pPr>
          </w:p>
          <w:p w14:paraId="4614C4EC" w14:textId="3EB943E1" w:rsidR="009A44D3" w:rsidRPr="00072B22" w:rsidRDefault="009A44D3" w:rsidP="35283E35">
            <w:pPr>
              <w:keepNext/>
              <w:suppressAutoHyphens w:val="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 xml:space="preserve">2.2 Key service outcomes </w:t>
            </w:r>
          </w:p>
          <w:p w14:paraId="25D37A43" w14:textId="74CDCAAF"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 xml:space="preserve">Increased uptake of LARC and </w:t>
            </w:r>
            <w:r w:rsidRPr="35283E35">
              <w:rPr>
                <w:rFonts w:asciiTheme="minorHAnsi" w:hAnsiTheme="minorHAnsi" w:cstheme="minorBidi"/>
                <w:szCs w:val="24"/>
              </w:rPr>
              <w:t>continued use of LARC</w:t>
            </w:r>
            <w:r w:rsidR="004B6505" w:rsidRPr="35283E35">
              <w:rPr>
                <w:rFonts w:asciiTheme="minorHAnsi" w:hAnsiTheme="minorHAnsi" w:cstheme="minorBidi"/>
                <w:szCs w:val="24"/>
              </w:rPr>
              <w:t>.</w:t>
            </w:r>
          </w:p>
          <w:p w14:paraId="3D061EBA" w14:textId="15E5A452"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Reduction in the number of unplanned pregnancies</w:t>
            </w:r>
            <w:r w:rsidR="004B6505" w:rsidRPr="35283E35">
              <w:rPr>
                <w:rFonts w:asciiTheme="minorHAnsi" w:eastAsiaTheme="minorEastAsia" w:hAnsiTheme="minorHAnsi" w:cstheme="minorBidi"/>
                <w:szCs w:val="24"/>
              </w:rPr>
              <w:t>.</w:t>
            </w:r>
          </w:p>
          <w:p w14:paraId="2ED59CDD" w14:textId="25DDA44C"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Reduction in the under 18 conception rates</w:t>
            </w:r>
            <w:r w:rsidR="004B6505" w:rsidRPr="35283E35">
              <w:rPr>
                <w:rFonts w:asciiTheme="minorHAnsi" w:eastAsiaTheme="minorEastAsia" w:hAnsiTheme="minorHAnsi" w:cstheme="minorBidi"/>
                <w:szCs w:val="24"/>
              </w:rPr>
              <w:t>.</w:t>
            </w:r>
          </w:p>
          <w:p w14:paraId="53EF9536" w14:textId="77225872"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 xml:space="preserve">Reduction in the number of terminations </w:t>
            </w:r>
            <w:r w:rsidR="00EF6A6C" w:rsidRPr="35283E35">
              <w:rPr>
                <w:rFonts w:asciiTheme="minorHAnsi" w:eastAsiaTheme="minorEastAsia" w:hAnsiTheme="minorHAnsi" w:cstheme="minorBidi"/>
                <w:szCs w:val="24"/>
              </w:rPr>
              <w:t>and repeat terminations.</w:t>
            </w:r>
          </w:p>
          <w:p w14:paraId="293C2B09" w14:textId="7BA7F94F" w:rsidR="009A44D3" w:rsidRPr="00072B22" w:rsidRDefault="009A44D3" w:rsidP="35283E35">
            <w:pPr>
              <w:numPr>
                <w:ilvl w:val="0"/>
                <w:numId w:val="16"/>
              </w:num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Reduction in the number of repeat terminations</w:t>
            </w:r>
            <w:r w:rsidR="00EF6A6C" w:rsidRPr="35283E35">
              <w:rPr>
                <w:rFonts w:asciiTheme="minorHAnsi" w:eastAsiaTheme="minorEastAsia" w:hAnsiTheme="minorHAnsi" w:cstheme="minorBidi"/>
                <w:szCs w:val="24"/>
              </w:rPr>
              <w:t>.</w:t>
            </w:r>
          </w:p>
          <w:p w14:paraId="030700E0" w14:textId="77777777" w:rsidR="004B6505" w:rsidRDefault="004B6505" w:rsidP="35283E35">
            <w:pPr>
              <w:suppressAutoHyphens w:val="0"/>
              <w:jc w:val="left"/>
              <w:rPr>
                <w:rFonts w:asciiTheme="minorHAnsi" w:eastAsiaTheme="minorEastAsia" w:hAnsiTheme="minorHAnsi" w:cstheme="minorBidi"/>
                <w:b/>
                <w:bCs/>
                <w:color w:val="339966"/>
                <w:szCs w:val="24"/>
              </w:rPr>
            </w:pPr>
          </w:p>
          <w:p w14:paraId="044BB9C3" w14:textId="0BDB9C47" w:rsidR="009A44D3" w:rsidRPr="00072B22" w:rsidRDefault="009A44D3" w:rsidP="35283E35">
            <w:pPr>
              <w:suppressAutoHyphens w:val="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2.3 Service description / pathway</w:t>
            </w:r>
          </w:p>
          <w:p w14:paraId="682217DF" w14:textId="77777777" w:rsidR="009A44D3" w:rsidRPr="00072B22" w:rsidRDefault="009A44D3" w:rsidP="35283E35">
            <w:pPr>
              <w:suppressAutoHyphens w:val="0"/>
              <w:jc w:val="left"/>
              <w:rPr>
                <w:rFonts w:asciiTheme="minorHAnsi" w:eastAsiaTheme="minorEastAsia" w:hAnsiTheme="minorHAnsi" w:cstheme="minorBidi"/>
                <w:b/>
                <w:bCs/>
                <w:szCs w:val="24"/>
              </w:rPr>
            </w:pPr>
            <w:r w:rsidRPr="35283E35">
              <w:rPr>
                <w:rFonts w:asciiTheme="minorHAnsi" w:eastAsiaTheme="minorEastAsia" w:hAnsiTheme="minorHAnsi" w:cstheme="minorBidi"/>
                <w:b/>
                <w:bCs/>
                <w:szCs w:val="24"/>
              </w:rPr>
              <w:t>The GP practices providing this service will:</w:t>
            </w:r>
          </w:p>
          <w:p w14:paraId="7EFAC264" w14:textId="362D8208" w:rsidR="009A44D3" w:rsidRPr="00072B22" w:rsidRDefault="009A44D3" w:rsidP="35283E35">
            <w:pPr>
              <w:pStyle w:val="ListParagraph"/>
              <w:numPr>
                <w:ilvl w:val="0"/>
                <w:numId w:val="16"/>
              </w:numPr>
              <w:spacing w:after="0" w:line="240" w:lineRule="auto"/>
              <w:rPr>
                <w:sz w:val="24"/>
                <w:szCs w:val="24"/>
              </w:rPr>
            </w:pPr>
            <w:r w:rsidRPr="35283E35">
              <w:rPr>
                <w:sz w:val="24"/>
                <w:szCs w:val="24"/>
              </w:rPr>
              <w:t xml:space="preserve">Fit, monitor, and remove </w:t>
            </w:r>
            <w:r w:rsidRPr="35283E35">
              <w:rPr>
                <w:rStyle w:val="normaltextrun"/>
                <w:color w:val="000000"/>
                <w:sz w:val="24"/>
                <w:szCs w:val="24"/>
                <w:shd w:val="clear" w:color="auto" w:fill="FFFFFF"/>
              </w:rPr>
              <w:t>I</w:t>
            </w:r>
            <w:r w:rsidR="00EF6A6C" w:rsidRPr="35283E35">
              <w:rPr>
                <w:rStyle w:val="normaltextrun"/>
                <w:color w:val="000000"/>
                <w:sz w:val="24"/>
                <w:szCs w:val="24"/>
                <w:shd w:val="clear" w:color="auto" w:fill="FFFFFF"/>
              </w:rPr>
              <w:t>U</w:t>
            </w:r>
            <w:r w:rsidRPr="35283E35">
              <w:rPr>
                <w:rStyle w:val="normaltextrun"/>
                <w:color w:val="000000"/>
                <w:sz w:val="24"/>
                <w:szCs w:val="24"/>
                <w:shd w:val="clear" w:color="auto" w:fill="FFFFFF"/>
              </w:rPr>
              <w:t xml:space="preserve">C </w:t>
            </w:r>
            <w:r w:rsidRPr="35283E35">
              <w:rPr>
                <w:sz w:val="24"/>
                <w:szCs w:val="24"/>
              </w:rPr>
              <w:t xml:space="preserve">licensed for use in the UK, in line with current best practice guidelines. </w:t>
            </w:r>
            <w:r w:rsidR="00EF6A6C" w:rsidRPr="35283E35">
              <w:rPr>
                <w:sz w:val="24"/>
                <w:szCs w:val="24"/>
              </w:rPr>
              <w:t>This includes the fitting of copper intrauterine devices (Cu-IUDs) and levonorgestrel-releasing IUDs (LNG-IUDs) for both contraceptive and gynaecological purposes.</w:t>
            </w:r>
          </w:p>
          <w:p w14:paraId="78EA0542" w14:textId="1D41AD80" w:rsidR="002A4E98" w:rsidRPr="00072B22" w:rsidRDefault="002A4E98" w:rsidP="35283E35">
            <w:pPr>
              <w:pStyle w:val="ListParagraph"/>
              <w:numPr>
                <w:ilvl w:val="0"/>
                <w:numId w:val="16"/>
              </w:numPr>
              <w:spacing w:after="0" w:line="240" w:lineRule="auto"/>
              <w:rPr>
                <w:sz w:val="24"/>
                <w:szCs w:val="24"/>
              </w:rPr>
            </w:pPr>
            <w:r w:rsidRPr="35283E35">
              <w:rPr>
                <w:sz w:val="24"/>
                <w:szCs w:val="24"/>
              </w:rPr>
              <w:lastRenderedPageBreak/>
              <w:t>Fit, monitor and remove contraceptive SDI licensed for use in the UK, in line with current best practice guidelines.</w:t>
            </w:r>
          </w:p>
          <w:p w14:paraId="3B8AC928" w14:textId="77777777" w:rsidR="002A4E98" w:rsidRPr="00072B22" w:rsidRDefault="002A4E98" w:rsidP="35283E35">
            <w:pPr>
              <w:pStyle w:val="ListParagraph"/>
              <w:numPr>
                <w:ilvl w:val="0"/>
                <w:numId w:val="16"/>
              </w:numPr>
              <w:spacing w:after="0" w:line="240" w:lineRule="auto"/>
              <w:jc w:val="both"/>
              <w:rPr>
                <w:sz w:val="24"/>
                <w:szCs w:val="24"/>
              </w:rPr>
            </w:pPr>
            <w:r w:rsidRPr="35283E35">
              <w:rPr>
                <w:sz w:val="24"/>
                <w:szCs w:val="24"/>
              </w:rPr>
              <w:t xml:space="preserve">Undertake STI testing prior to or at LARC fitting if increased risk is identified in accordance with </w:t>
            </w:r>
            <w:hyperlink r:id="rId14">
              <w:r w:rsidRPr="35283E35">
                <w:rPr>
                  <w:rStyle w:val="Hyperlink"/>
                  <w:sz w:val="24"/>
                  <w:szCs w:val="24"/>
                </w:rPr>
                <w:t>FSRH guidance</w:t>
              </w:r>
            </w:hyperlink>
            <w:r w:rsidRPr="35283E35">
              <w:rPr>
                <w:sz w:val="24"/>
                <w:szCs w:val="24"/>
              </w:rPr>
              <w:t>.</w:t>
            </w:r>
          </w:p>
          <w:p w14:paraId="0F70D5F6" w14:textId="77777777" w:rsidR="002A4E98" w:rsidRPr="00072B22" w:rsidRDefault="002A4E98" w:rsidP="35283E35">
            <w:pPr>
              <w:pStyle w:val="ListParagraph"/>
              <w:numPr>
                <w:ilvl w:val="0"/>
                <w:numId w:val="16"/>
              </w:numPr>
              <w:rPr>
                <w:sz w:val="24"/>
                <w:szCs w:val="24"/>
              </w:rPr>
            </w:pPr>
            <w:r w:rsidRPr="35283E35">
              <w:rPr>
                <w:sz w:val="24"/>
                <w:szCs w:val="24"/>
              </w:rPr>
              <w:t>Ensure all LARC fitters undertake regular continual professional development (CPD). See Section 3.5 for training and accreditation requirements.</w:t>
            </w:r>
          </w:p>
          <w:p w14:paraId="76CCF42A" w14:textId="77777777" w:rsidR="002A4E98" w:rsidRPr="00072B22" w:rsidRDefault="002A4E98" w:rsidP="35283E35">
            <w:pPr>
              <w:pStyle w:val="ListParagraph"/>
              <w:numPr>
                <w:ilvl w:val="0"/>
                <w:numId w:val="16"/>
              </w:numPr>
              <w:rPr>
                <w:sz w:val="24"/>
                <w:szCs w:val="24"/>
              </w:rPr>
            </w:pPr>
            <w:r w:rsidRPr="35283E35">
              <w:rPr>
                <w:sz w:val="24"/>
                <w:szCs w:val="24"/>
              </w:rPr>
              <w:t>Ensure timely access to LARC and refer or signpost to other services if necessary.</w:t>
            </w:r>
          </w:p>
          <w:p w14:paraId="2FBFD922" w14:textId="77777777" w:rsidR="002A4E98" w:rsidRPr="00072B22" w:rsidRDefault="002A4E98" w:rsidP="35283E35">
            <w:pPr>
              <w:pStyle w:val="ListParagraph"/>
              <w:numPr>
                <w:ilvl w:val="0"/>
                <w:numId w:val="16"/>
              </w:numPr>
              <w:suppressAutoHyphens/>
              <w:rPr>
                <w:b/>
                <w:bCs/>
                <w:sz w:val="24"/>
                <w:szCs w:val="24"/>
                <w:u w:val="single"/>
              </w:rPr>
            </w:pPr>
            <w:r w:rsidRPr="35283E35">
              <w:rPr>
                <w:sz w:val="24"/>
                <w:szCs w:val="24"/>
              </w:rPr>
              <w:t xml:space="preserve">Provide the service in compliance with all safeguarding protocols </w:t>
            </w:r>
            <w:r w:rsidRPr="00511376">
              <w:rPr>
                <w:sz w:val="24"/>
                <w:szCs w:val="24"/>
              </w:rPr>
              <w:t>(see section 3.1).</w:t>
            </w:r>
          </w:p>
          <w:p w14:paraId="0711F848" w14:textId="04C43F0B" w:rsidR="009A44D3" w:rsidRPr="00072B22" w:rsidRDefault="009A44D3" w:rsidP="35283E35">
            <w:pPr>
              <w:pStyle w:val="ListParagraph"/>
              <w:numPr>
                <w:ilvl w:val="0"/>
                <w:numId w:val="16"/>
              </w:numPr>
              <w:spacing w:after="0" w:line="240" w:lineRule="auto"/>
              <w:rPr>
                <w:rFonts w:eastAsia="MS ??"/>
                <w:sz w:val="24"/>
                <w:szCs w:val="24"/>
              </w:rPr>
            </w:pPr>
            <w:r w:rsidRPr="35283E35">
              <w:rPr>
                <w:sz w:val="24"/>
                <w:szCs w:val="24"/>
              </w:rPr>
              <w:t xml:space="preserve">Inform the North Somerset Council </w:t>
            </w:r>
            <w:r w:rsidR="005762BA" w:rsidRPr="35283E35">
              <w:rPr>
                <w:sz w:val="24"/>
                <w:szCs w:val="24"/>
              </w:rPr>
              <w:t>Commissioning Manager</w:t>
            </w:r>
            <w:r w:rsidRPr="35283E35">
              <w:rPr>
                <w:sz w:val="24"/>
                <w:szCs w:val="24"/>
              </w:rPr>
              <w:t xml:space="preserve"> within one week if these services cannot be offered for a period of 4 weeks or more.</w:t>
            </w:r>
          </w:p>
          <w:p w14:paraId="576EA48B" w14:textId="68F73C8A" w:rsidR="009A44D3" w:rsidRPr="00072B22" w:rsidRDefault="009A44D3" w:rsidP="35283E35">
            <w:pPr>
              <w:pStyle w:val="ListParagraph"/>
              <w:numPr>
                <w:ilvl w:val="0"/>
                <w:numId w:val="16"/>
              </w:numPr>
              <w:spacing w:after="0" w:line="240" w:lineRule="auto"/>
              <w:rPr>
                <w:rFonts w:eastAsia="MS ??"/>
                <w:sz w:val="24"/>
                <w:szCs w:val="24"/>
              </w:rPr>
            </w:pPr>
            <w:r w:rsidRPr="35283E35">
              <w:rPr>
                <w:sz w:val="24"/>
                <w:szCs w:val="24"/>
              </w:rPr>
              <w:t>Report service monitoring information to the commissioner against criteria set out within section 4</w:t>
            </w:r>
            <w:r w:rsidR="006E1A26">
              <w:rPr>
                <w:sz w:val="24"/>
                <w:szCs w:val="24"/>
              </w:rPr>
              <w:t>.</w:t>
            </w:r>
            <w:r w:rsidRPr="35283E35">
              <w:rPr>
                <w:sz w:val="24"/>
                <w:szCs w:val="24"/>
              </w:rPr>
              <w:t xml:space="preserve"> of this specification.</w:t>
            </w:r>
          </w:p>
          <w:p w14:paraId="67E65F1C" w14:textId="77777777" w:rsidR="004B6505" w:rsidRPr="00072B22" w:rsidRDefault="004B6505" w:rsidP="35283E35">
            <w:pPr>
              <w:jc w:val="left"/>
              <w:rPr>
                <w:rFonts w:asciiTheme="minorHAnsi" w:hAnsiTheme="minorHAnsi" w:cstheme="minorBidi"/>
                <w:b/>
                <w:bCs/>
                <w:color w:val="339966"/>
                <w:szCs w:val="24"/>
              </w:rPr>
            </w:pPr>
          </w:p>
          <w:p w14:paraId="4AAB3FCA" w14:textId="2001DDBD" w:rsidR="009A44D3" w:rsidRPr="00072B22" w:rsidRDefault="009A44D3"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 xml:space="preserve">2.4 Acceptance and exclusion criteria and thresholds </w:t>
            </w:r>
          </w:p>
          <w:p w14:paraId="744532C3" w14:textId="77777777" w:rsidR="004B6505" w:rsidRPr="00072B22" w:rsidRDefault="004B6505" w:rsidP="35283E35">
            <w:pPr>
              <w:jc w:val="left"/>
              <w:rPr>
                <w:rFonts w:asciiTheme="minorHAnsi" w:hAnsiTheme="minorHAnsi" w:cstheme="minorBidi"/>
                <w:b/>
                <w:bCs/>
                <w:szCs w:val="24"/>
              </w:rPr>
            </w:pPr>
          </w:p>
          <w:p w14:paraId="26BAF350" w14:textId="7D6A5B80" w:rsidR="009A44D3" w:rsidRPr="00072B22" w:rsidRDefault="009A44D3" w:rsidP="35283E35">
            <w:pPr>
              <w:jc w:val="left"/>
              <w:rPr>
                <w:rFonts w:asciiTheme="minorHAnsi" w:hAnsiTheme="minorHAnsi" w:cstheme="minorBidi"/>
                <w:b/>
                <w:bCs/>
                <w:szCs w:val="24"/>
              </w:rPr>
            </w:pPr>
            <w:r w:rsidRPr="35283E35">
              <w:rPr>
                <w:rFonts w:asciiTheme="minorHAnsi" w:hAnsiTheme="minorHAnsi" w:cstheme="minorBidi"/>
                <w:b/>
                <w:bCs/>
                <w:szCs w:val="24"/>
              </w:rPr>
              <w:t>Acceptance</w:t>
            </w:r>
          </w:p>
          <w:p w14:paraId="6D15101D" w14:textId="2689B8E6" w:rsidR="009A44D3" w:rsidRPr="00072B22" w:rsidRDefault="009A44D3" w:rsidP="35283E35">
            <w:pPr>
              <w:pStyle w:val="ListParagraph"/>
              <w:numPr>
                <w:ilvl w:val="0"/>
                <w:numId w:val="16"/>
              </w:numPr>
              <w:spacing w:after="0" w:line="240" w:lineRule="auto"/>
              <w:rPr>
                <w:sz w:val="24"/>
                <w:szCs w:val="24"/>
              </w:rPr>
            </w:pPr>
            <w:r w:rsidRPr="35283E35">
              <w:rPr>
                <w:sz w:val="24"/>
                <w:szCs w:val="24"/>
              </w:rPr>
              <w:t xml:space="preserve">The service should be made available to all women in North Somerset who request contraception/emergency contraception and who choose </w:t>
            </w:r>
            <w:r w:rsidR="004B6505" w:rsidRPr="35283E35">
              <w:rPr>
                <w:sz w:val="24"/>
                <w:szCs w:val="24"/>
              </w:rPr>
              <w:t>LARC</w:t>
            </w:r>
            <w:r w:rsidRPr="35283E35">
              <w:rPr>
                <w:sz w:val="24"/>
                <w:szCs w:val="24"/>
              </w:rPr>
              <w:t xml:space="preserve"> as the most acceptable method for them.</w:t>
            </w:r>
          </w:p>
          <w:p w14:paraId="5C181062" w14:textId="77777777" w:rsidR="009A44D3" w:rsidRPr="00072B22" w:rsidRDefault="009A44D3" w:rsidP="35283E35">
            <w:pPr>
              <w:pStyle w:val="ListParagraph"/>
              <w:numPr>
                <w:ilvl w:val="0"/>
                <w:numId w:val="16"/>
              </w:numPr>
              <w:spacing w:after="0" w:line="240" w:lineRule="auto"/>
              <w:rPr>
                <w:sz w:val="24"/>
                <w:szCs w:val="24"/>
              </w:rPr>
            </w:pPr>
            <w:r w:rsidRPr="35283E35">
              <w:rPr>
                <w:sz w:val="24"/>
                <w:szCs w:val="24"/>
              </w:rPr>
              <w:t>Consent must be obtained for any treatment offered.</w:t>
            </w:r>
          </w:p>
          <w:p w14:paraId="5BC70727" w14:textId="77777777" w:rsidR="004B6505" w:rsidRPr="00072B22" w:rsidRDefault="004B6505" w:rsidP="35283E35">
            <w:pPr>
              <w:jc w:val="left"/>
              <w:rPr>
                <w:rFonts w:asciiTheme="minorHAnsi" w:hAnsiTheme="minorHAnsi" w:cstheme="minorBidi"/>
                <w:b/>
                <w:bCs/>
                <w:szCs w:val="24"/>
              </w:rPr>
            </w:pPr>
          </w:p>
          <w:p w14:paraId="22397684" w14:textId="4F250F41" w:rsidR="009A44D3" w:rsidRPr="00072B22" w:rsidRDefault="009A44D3" w:rsidP="35283E35">
            <w:pPr>
              <w:jc w:val="left"/>
              <w:rPr>
                <w:rFonts w:asciiTheme="minorHAnsi" w:hAnsiTheme="minorHAnsi" w:cstheme="minorBidi"/>
                <w:b/>
                <w:bCs/>
                <w:szCs w:val="24"/>
              </w:rPr>
            </w:pPr>
            <w:r w:rsidRPr="35283E35">
              <w:rPr>
                <w:rFonts w:asciiTheme="minorHAnsi" w:hAnsiTheme="minorHAnsi" w:cstheme="minorBidi"/>
                <w:b/>
                <w:bCs/>
                <w:szCs w:val="24"/>
              </w:rPr>
              <w:t>Exclusions</w:t>
            </w:r>
          </w:p>
          <w:p w14:paraId="1184638C" w14:textId="43502913" w:rsidR="009A44D3" w:rsidRPr="00072B22" w:rsidRDefault="009A44D3" w:rsidP="35283E35">
            <w:pPr>
              <w:pStyle w:val="ListParagraph"/>
              <w:numPr>
                <w:ilvl w:val="0"/>
                <w:numId w:val="16"/>
              </w:numPr>
              <w:spacing w:after="0" w:line="240" w:lineRule="auto"/>
              <w:rPr>
                <w:sz w:val="24"/>
                <w:szCs w:val="24"/>
              </w:rPr>
            </w:pPr>
            <w:r w:rsidRPr="35283E35">
              <w:rPr>
                <w:sz w:val="24"/>
                <w:szCs w:val="24"/>
              </w:rPr>
              <w:t>If the use of</w:t>
            </w:r>
            <w:r w:rsidR="004B6505" w:rsidRPr="35283E35">
              <w:rPr>
                <w:sz w:val="24"/>
                <w:szCs w:val="24"/>
              </w:rPr>
              <w:t xml:space="preserve"> LARC</w:t>
            </w:r>
            <w:r w:rsidRPr="35283E35">
              <w:rPr>
                <w:sz w:val="24"/>
                <w:szCs w:val="24"/>
              </w:rPr>
              <w:t xml:space="preserve"> is contraindicated, a choice of other more suitable methods of contraception or alternative ways of managing menorrhagia must be offered.</w:t>
            </w:r>
          </w:p>
          <w:p w14:paraId="027DA666" w14:textId="77777777" w:rsidR="00FD67CC" w:rsidRPr="00072B22" w:rsidRDefault="00FD67CC" w:rsidP="35283E35">
            <w:pPr>
              <w:rPr>
                <w:rFonts w:asciiTheme="minorHAnsi" w:hAnsiTheme="minorHAnsi" w:cstheme="minorBidi"/>
                <w:szCs w:val="24"/>
              </w:rPr>
            </w:pPr>
          </w:p>
          <w:p w14:paraId="1E941EDE" w14:textId="77777777" w:rsidR="00FD67CC" w:rsidRPr="00072B22" w:rsidRDefault="00FD67CC" w:rsidP="35283E35">
            <w:pPr>
              <w:pStyle w:val="ListParagraph"/>
              <w:tabs>
                <w:tab w:val="left" w:pos="567"/>
              </w:tabs>
              <w:spacing w:after="0" w:line="240" w:lineRule="auto"/>
              <w:ind w:hanging="720"/>
              <w:rPr>
                <w:b/>
                <w:bCs/>
                <w:i/>
                <w:iCs/>
                <w:sz w:val="24"/>
                <w:szCs w:val="24"/>
              </w:rPr>
            </w:pPr>
            <w:r w:rsidRPr="35283E35">
              <w:rPr>
                <w:b/>
                <w:bCs/>
                <w:i/>
                <w:iCs/>
                <w:sz w:val="24"/>
                <w:szCs w:val="24"/>
              </w:rPr>
              <w:t>2.4.1 Failed procedures definition</w:t>
            </w:r>
          </w:p>
          <w:p w14:paraId="37D4286A" w14:textId="7DD607C0" w:rsidR="00FD67CC" w:rsidRPr="00072B22" w:rsidRDefault="00FD67CC" w:rsidP="35283E35">
            <w:pPr>
              <w:pStyle w:val="ListParagraph"/>
              <w:numPr>
                <w:ilvl w:val="0"/>
                <w:numId w:val="27"/>
              </w:numPr>
              <w:rPr>
                <w:sz w:val="24"/>
                <w:szCs w:val="24"/>
              </w:rPr>
            </w:pPr>
            <w:r w:rsidRPr="35283E35">
              <w:rPr>
                <w:sz w:val="24"/>
                <w:szCs w:val="24"/>
              </w:rPr>
              <w:t xml:space="preserve">If a patient attends an appointment to have either an IUC </w:t>
            </w:r>
            <w:r w:rsidR="000B6770">
              <w:rPr>
                <w:sz w:val="24"/>
                <w:szCs w:val="24"/>
              </w:rPr>
              <w:t xml:space="preserve">fitted </w:t>
            </w:r>
            <w:r w:rsidRPr="35283E35">
              <w:rPr>
                <w:sz w:val="24"/>
                <w:szCs w:val="24"/>
              </w:rPr>
              <w:t>or SDI fitted/removed and on attempting to fit/remove the device/implant, there is a medical or anatomical reason why the device cannot be fitted/removed at that time, the practice can record this as a ‘failed fit’ for IUC</w:t>
            </w:r>
            <w:r w:rsidR="00370D0E">
              <w:rPr>
                <w:sz w:val="24"/>
                <w:szCs w:val="24"/>
              </w:rPr>
              <w:t>/SDI</w:t>
            </w:r>
            <w:r w:rsidRPr="35283E35">
              <w:rPr>
                <w:sz w:val="24"/>
                <w:szCs w:val="24"/>
              </w:rPr>
              <w:t xml:space="preserve"> or a ‘failed removal’ for SDIs. For referrals to the ISHS, see sectio</w:t>
            </w:r>
            <w:r w:rsidR="000035DD" w:rsidRPr="35283E35">
              <w:rPr>
                <w:sz w:val="24"/>
                <w:szCs w:val="24"/>
              </w:rPr>
              <w:t>n 2.5</w:t>
            </w:r>
            <w:r w:rsidR="00370D0E">
              <w:rPr>
                <w:sz w:val="24"/>
                <w:szCs w:val="24"/>
              </w:rPr>
              <w:t>.</w:t>
            </w:r>
          </w:p>
          <w:p w14:paraId="611F4120" w14:textId="00EDB594" w:rsidR="00FD67CC" w:rsidRPr="00072B22" w:rsidRDefault="00FD67CC" w:rsidP="35283E35">
            <w:pPr>
              <w:pStyle w:val="ListParagraph"/>
              <w:numPr>
                <w:ilvl w:val="0"/>
                <w:numId w:val="26"/>
              </w:numPr>
              <w:spacing w:after="0" w:line="240" w:lineRule="auto"/>
              <w:rPr>
                <w:sz w:val="24"/>
                <w:szCs w:val="24"/>
              </w:rPr>
            </w:pPr>
            <w:r w:rsidRPr="35283E35">
              <w:rPr>
                <w:sz w:val="24"/>
                <w:szCs w:val="24"/>
              </w:rPr>
              <w:t xml:space="preserve">If a patient does not attend the </w:t>
            </w:r>
            <w:r w:rsidR="00FD206C" w:rsidRPr="35283E35">
              <w:rPr>
                <w:sz w:val="24"/>
                <w:szCs w:val="24"/>
              </w:rPr>
              <w:t>appointment or</w:t>
            </w:r>
            <w:r w:rsidRPr="35283E35">
              <w:rPr>
                <w:sz w:val="24"/>
                <w:szCs w:val="24"/>
              </w:rPr>
              <w:t xml:space="preserve"> attends the appointment and decides that they no longer want the LARC fitted or removed, this is not classed as a failed fit or removal.</w:t>
            </w:r>
          </w:p>
          <w:p w14:paraId="322D0FF0" w14:textId="07124192" w:rsidR="00FD67CC" w:rsidRPr="00072B22" w:rsidRDefault="00FD67CC" w:rsidP="35283E35">
            <w:pPr>
              <w:rPr>
                <w:rFonts w:asciiTheme="minorHAnsi" w:hAnsiTheme="minorHAnsi" w:cstheme="minorBidi"/>
                <w:szCs w:val="24"/>
              </w:rPr>
            </w:pPr>
          </w:p>
          <w:p w14:paraId="7F17CD1F" w14:textId="77777777" w:rsidR="004B6505" w:rsidRPr="00072B22" w:rsidRDefault="004B6505" w:rsidP="35283E35">
            <w:pPr>
              <w:jc w:val="left"/>
              <w:rPr>
                <w:rFonts w:asciiTheme="minorHAnsi" w:hAnsiTheme="minorHAnsi" w:cstheme="minorBidi"/>
                <w:b/>
                <w:bCs/>
                <w:color w:val="339966"/>
                <w:szCs w:val="24"/>
              </w:rPr>
            </w:pPr>
          </w:p>
          <w:p w14:paraId="1EEBB12D" w14:textId="4743621D" w:rsidR="009A44D3" w:rsidRPr="00072B22" w:rsidRDefault="009A44D3"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2.5 Interdependencies with other services</w:t>
            </w:r>
          </w:p>
          <w:p w14:paraId="773B103A" w14:textId="77777777" w:rsidR="002C16F2" w:rsidRPr="00072B22" w:rsidRDefault="009A44D3" w:rsidP="35283E35">
            <w:p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 xml:space="preserve">Providers will be expected to maintain a close working relationship with </w:t>
            </w:r>
            <w:r w:rsidR="002C16F2" w:rsidRPr="35283E35">
              <w:rPr>
                <w:rFonts w:asciiTheme="minorHAnsi" w:eastAsiaTheme="minorEastAsia" w:hAnsiTheme="minorHAnsi" w:cstheme="minorBidi"/>
                <w:szCs w:val="24"/>
              </w:rPr>
              <w:t>the ISHS for contraceptive LARC.</w:t>
            </w:r>
            <w:r w:rsidRPr="35283E35">
              <w:rPr>
                <w:rFonts w:asciiTheme="minorHAnsi" w:eastAsiaTheme="minorEastAsia" w:hAnsiTheme="minorHAnsi" w:cstheme="minorBidi"/>
                <w:szCs w:val="24"/>
              </w:rPr>
              <w:t xml:space="preserve"> Providers should use the Contraception Pathways located on</w:t>
            </w:r>
            <w:r w:rsidR="002C16F2" w:rsidRPr="35283E35">
              <w:rPr>
                <w:rFonts w:asciiTheme="minorHAnsi" w:eastAsiaTheme="minorEastAsia" w:hAnsiTheme="minorHAnsi" w:cstheme="minorBidi"/>
                <w:szCs w:val="24"/>
              </w:rPr>
              <w:t xml:space="preserve"> </w:t>
            </w:r>
            <w:hyperlink r:id="rId15">
              <w:r w:rsidR="002C16F2" w:rsidRPr="35283E35">
                <w:rPr>
                  <w:rStyle w:val="Hyperlink"/>
                  <w:rFonts w:asciiTheme="minorHAnsi" w:eastAsiaTheme="majorEastAsia" w:hAnsiTheme="minorHAnsi" w:cstheme="minorBidi"/>
                  <w:b/>
                  <w:bCs/>
                  <w:i/>
                  <w:iCs/>
                  <w:szCs w:val="24"/>
                </w:rPr>
                <w:t xml:space="preserve"> Remedy</w:t>
              </w:r>
            </w:hyperlink>
            <w:r w:rsidR="002C16F2" w:rsidRPr="35283E35">
              <w:rPr>
                <w:rFonts w:asciiTheme="minorHAnsi" w:eastAsiaTheme="minorEastAsia" w:hAnsiTheme="minorHAnsi" w:cstheme="minorBidi"/>
                <w:szCs w:val="24"/>
              </w:rPr>
              <w:t xml:space="preserve"> </w:t>
            </w:r>
            <w:r w:rsidR="002C16F2" w:rsidRPr="35283E35">
              <w:rPr>
                <w:rFonts w:asciiTheme="minorHAnsi" w:hAnsiTheme="minorHAnsi" w:cstheme="minorBidi"/>
                <w:szCs w:val="24"/>
              </w:rPr>
              <w:t xml:space="preserve"> </w:t>
            </w:r>
            <w:r w:rsidRPr="35283E35">
              <w:rPr>
                <w:rFonts w:asciiTheme="minorHAnsi" w:eastAsiaTheme="minorEastAsia" w:hAnsiTheme="minorHAnsi" w:cstheme="minorBidi"/>
                <w:szCs w:val="24"/>
              </w:rPr>
              <w:t>and ensure referral of patients as appropriate</w:t>
            </w:r>
            <w:r w:rsidR="002C16F2" w:rsidRPr="35283E35">
              <w:rPr>
                <w:rFonts w:asciiTheme="minorHAnsi" w:eastAsiaTheme="minorEastAsia" w:hAnsiTheme="minorHAnsi" w:cstheme="minorBidi"/>
                <w:szCs w:val="24"/>
              </w:rPr>
              <w:t>.</w:t>
            </w:r>
            <w:r w:rsidRPr="35283E35">
              <w:rPr>
                <w:rFonts w:asciiTheme="minorHAnsi" w:eastAsiaTheme="minorEastAsia" w:hAnsiTheme="minorHAnsi" w:cstheme="minorBidi"/>
                <w:szCs w:val="24"/>
              </w:rPr>
              <w:t xml:space="preserve"> </w:t>
            </w:r>
          </w:p>
          <w:p w14:paraId="52F8D17B" w14:textId="73B74B11" w:rsidR="009A44D3" w:rsidRPr="00072B22" w:rsidRDefault="002C16F2" w:rsidP="35283E35">
            <w:p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e.g. This may be due to a medical complexity, failed / complex removal or insertion, emergency intrauterine device (Cu-IUD) fitting or for women who need more specialist support e.g. those with a history of sexual assault/exploitation.</w:t>
            </w:r>
          </w:p>
          <w:p w14:paraId="300F5495" w14:textId="77777777" w:rsidR="002C16F2" w:rsidRPr="00072B22" w:rsidRDefault="002C16F2" w:rsidP="35283E35">
            <w:pPr>
              <w:jc w:val="left"/>
              <w:rPr>
                <w:rFonts w:asciiTheme="minorHAnsi" w:eastAsiaTheme="minorEastAsia" w:hAnsiTheme="minorHAnsi" w:cstheme="minorBidi"/>
                <w:szCs w:val="24"/>
              </w:rPr>
            </w:pPr>
          </w:p>
          <w:p w14:paraId="64339CA0" w14:textId="132E0B64" w:rsidR="002C16F2" w:rsidRPr="00072B22" w:rsidRDefault="002C16F2" w:rsidP="35283E35">
            <w:p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 xml:space="preserve">Most patients are likely to choose to have their LARC fitted at a General Practice. Patients can also choose to self-refer into the ISHS for their routine contraceptive LARC fitting via the </w:t>
            </w:r>
            <w:r w:rsidRPr="35283E35">
              <w:rPr>
                <w:rFonts w:asciiTheme="minorHAnsi" w:eastAsiaTheme="minorEastAsia" w:hAnsiTheme="minorHAnsi" w:cstheme="minorBidi"/>
                <w:szCs w:val="24"/>
              </w:rPr>
              <w:lastRenderedPageBreak/>
              <w:t>ISHS website or via a clinic. They may choose this for convenience, shorter waits or to access their preferred method of pain management.</w:t>
            </w:r>
          </w:p>
          <w:p w14:paraId="2E893620" w14:textId="33D9D815" w:rsidR="009A44D3" w:rsidRPr="00072B22" w:rsidRDefault="009A44D3" w:rsidP="35283E35">
            <w:pPr>
              <w:jc w:val="left"/>
              <w:rPr>
                <w:rFonts w:asciiTheme="minorHAnsi" w:eastAsiaTheme="minorEastAsia" w:hAnsiTheme="minorHAnsi" w:cstheme="minorBidi"/>
                <w:szCs w:val="24"/>
              </w:rPr>
            </w:pPr>
          </w:p>
          <w:p w14:paraId="60EE2651" w14:textId="59FBC6C2" w:rsidR="009A44D3" w:rsidRPr="00072B22" w:rsidRDefault="009A44D3" w:rsidP="35283E35">
            <w:pPr>
              <w:jc w:val="left"/>
              <w:rPr>
                <w:rStyle w:val="ui-provider"/>
                <w:rFonts w:asciiTheme="minorHAnsi" w:hAnsiTheme="minorHAnsi" w:cstheme="minorBidi"/>
                <w:szCs w:val="24"/>
              </w:rPr>
            </w:pPr>
            <w:r w:rsidRPr="35283E35">
              <w:rPr>
                <w:rStyle w:val="ui-provider"/>
                <w:rFonts w:asciiTheme="minorHAnsi" w:hAnsiTheme="minorHAnsi" w:cstheme="minorBidi"/>
                <w:szCs w:val="24"/>
              </w:rPr>
              <w:t xml:space="preserve">General Practices, in collaboration with Public Health and their PCN’s, and in accordance with clinical guidance, can </w:t>
            </w:r>
            <w:r w:rsidR="00327DF7" w:rsidRPr="35283E35">
              <w:rPr>
                <w:rStyle w:val="ui-provider"/>
                <w:rFonts w:asciiTheme="minorHAnsi" w:hAnsiTheme="minorHAnsi" w:cstheme="minorBidi"/>
                <w:szCs w:val="24"/>
              </w:rPr>
              <w:t>use</w:t>
            </w:r>
            <w:r w:rsidRPr="35283E35">
              <w:rPr>
                <w:rStyle w:val="ui-provider"/>
                <w:rFonts w:asciiTheme="minorHAnsi" w:hAnsiTheme="minorHAnsi" w:cstheme="minorBidi"/>
                <w:szCs w:val="24"/>
              </w:rPr>
              <w:t xml:space="preserve"> inter-practice referral</w:t>
            </w:r>
            <w:r w:rsidR="00327DF7" w:rsidRPr="35283E35">
              <w:rPr>
                <w:rStyle w:val="ui-provider"/>
                <w:rFonts w:asciiTheme="minorHAnsi" w:hAnsiTheme="minorHAnsi" w:cstheme="minorBidi"/>
                <w:szCs w:val="24"/>
              </w:rPr>
              <w:t>s for</w:t>
            </w:r>
            <w:r w:rsidRPr="35283E35">
              <w:rPr>
                <w:rStyle w:val="ui-provider"/>
                <w:rFonts w:asciiTheme="minorHAnsi" w:hAnsiTheme="minorHAnsi" w:cstheme="minorBidi"/>
                <w:szCs w:val="24"/>
              </w:rPr>
              <w:t xml:space="preserve"> </w:t>
            </w:r>
            <w:r w:rsidR="00327DF7" w:rsidRPr="35283E35">
              <w:rPr>
                <w:rStyle w:val="ui-provider"/>
                <w:rFonts w:asciiTheme="minorHAnsi" w:hAnsiTheme="minorHAnsi" w:cstheme="minorBidi"/>
                <w:szCs w:val="24"/>
              </w:rPr>
              <w:t xml:space="preserve">LARC </w:t>
            </w:r>
            <w:r w:rsidRPr="35283E35">
              <w:rPr>
                <w:rStyle w:val="ui-provider"/>
                <w:rFonts w:asciiTheme="minorHAnsi" w:hAnsiTheme="minorHAnsi" w:cstheme="minorBidi"/>
                <w:szCs w:val="24"/>
              </w:rPr>
              <w:t>services.</w:t>
            </w:r>
            <w:r w:rsidR="002A4E98" w:rsidRPr="35283E35">
              <w:rPr>
                <w:rStyle w:val="ui-provider"/>
                <w:rFonts w:asciiTheme="minorHAnsi" w:hAnsiTheme="minorHAnsi" w:cstheme="minorBidi"/>
                <w:szCs w:val="24"/>
              </w:rPr>
              <w:t xml:space="preserve"> </w:t>
            </w:r>
          </w:p>
          <w:p w14:paraId="2B40D036" w14:textId="1553330B" w:rsidR="009A44D3" w:rsidRPr="00072B22" w:rsidRDefault="009A44D3" w:rsidP="35283E35">
            <w:pPr>
              <w:jc w:val="left"/>
              <w:rPr>
                <w:rStyle w:val="ui-provider"/>
                <w:rFonts w:asciiTheme="minorHAnsi" w:hAnsiTheme="minorHAnsi" w:cstheme="minorBidi"/>
                <w:szCs w:val="24"/>
              </w:rPr>
            </w:pPr>
          </w:p>
          <w:p w14:paraId="708078D6" w14:textId="77777777" w:rsidR="009A44D3" w:rsidRPr="00072B22" w:rsidRDefault="009A44D3" w:rsidP="35283E35">
            <w:p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Provision may be offered to registered patients of the practice, patients from another practice, or un-registered patients through static or mobile LARC hubs.</w:t>
            </w:r>
          </w:p>
          <w:p w14:paraId="0BA8A60D" w14:textId="45A99202" w:rsidR="009A44D3" w:rsidRPr="00072B22" w:rsidRDefault="009A44D3" w:rsidP="35283E35">
            <w:pPr>
              <w:jc w:val="left"/>
              <w:rPr>
                <w:rFonts w:asciiTheme="minorHAnsi" w:eastAsiaTheme="minorEastAsia" w:hAnsiTheme="minorHAnsi" w:cstheme="minorBidi"/>
                <w:szCs w:val="24"/>
              </w:rPr>
            </w:pPr>
          </w:p>
          <w:p w14:paraId="5FF70162" w14:textId="77777777" w:rsidR="009A44D3" w:rsidRPr="00072B22" w:rsidRDefault="009A44D3" w:rsidP="35283E35">
            <w:p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Practices may have arrangements for the provision of the service with other practices in their group, primary care network, locality partnership, or Local Authority area.</w:t>
            </w:r>
          </w:p>
          <w:p w14:paraId="4D9D064A" w14:textId="77777777" w:rsidR="002C16F2" w:rsidRDefault="002C16F2" w:rsidP="35283E35">
            <w:pPr>
              <w:jc w:val="left"/>
              <w:rPr>
                <w:rFonts w:asciiTheme="minorHAnsi" w:eastAsiaTheme="minorEastAsia" w:hAnsiTheme="minorHAnsi" w:cstheme="minorBidi"/>
                <w:szCs w:val="24"/>
              </w:rPr>
            </w:pPr>
          </w:p>
          <w:p w14:paraId="4CBA8997" w14:textId="77777777" w:rsidR="000D6C67" w:rsidRPr="00072B22" w:rsidRDefault="000D6C67" w:rsidP="35283E35">
            <w:pPr>
              <w:jc w:val="left"/>
              <w:rPr>
                <w:rFonts w:asciiTheme="minorHAnsi" w:eastAsiaTheme="minorEastAsia" w:hAnsiTheme="minorHAnsi" w:cstheme="minorBidi"/>
                <w:szCs w:val="24"/>
              </w:rPr>
            </w:pPr>
          </w:p>
          <w:p w14:paraId="6059F540" w14:textId="7BF7535D" w:rsidR="002C16F2" w:rsidRPr="002C16F2" w:rsidRDefault="002C16F2" w:rsidP="35283E35">
            <w:pPr>
              <w:jc w:val="left"/>
              <w:rPr>
                <w:rFonts w:asciiTheme="minorHAnsi" w:eastAsiaTheme="minorEastAsia" w:hAnsiTheme="minorHAnsi" w:cstheme="minorBidi"/>
                <w:b/>
                <w:bCs/>
                <w:i/>
                <w:iCs/>
                <w:szCs w:val="24"/>
              </w:rPr>
            </w:pPr>
            <w:r w:rsidRPr="35283E35">
              <w:rPr>
                <w:rFonts w:asciiTheme="minorHAnsi" w:eastAsiaTheme="minorEastAsia" w:hAnsiTheme="minorHAnsi" w:cstheme="minorBidi"/>
                <w:b/>
                <w:bCs/>
                <w:i/>
                <w:iCs/>
                <w:szCs w:val="24"/>
              </w:rPr>
              <w:t>2.5.1. Referrals for LARC for gynaecological reasons</w:t>
            </w:r>
          </w:p>
          <w:p w14:paraId="762277B5" w14:textId="77777777" w:rsidR="002C16F2" w:rsidRPr="002C16F2" w:rsidRDefault="002C16F2" w:rsidP="35283E35">
            <w:pPr>
              <w:numPr>
                <w:ilvl w:val="0"/>
                <w:numId w:val="22"/>
              </w:num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If LARC for gynaecological reasons cannot be fitted in primary care for any reason (including for complex / failed fits or follow up issues such as lost threads), please refer to gynaecology services.</w:t>
            </w:r>
          </w:p>
          <w:p w14:paraId="23574454" w14:textId="77777777" w:rsidR="002C16F2" w:rsidRPr="002C16F2" w:rsidRDefault="002C16F2" w:rsidP="35283E35">
            <w:pPr>
              <w:numPr>
                <w:ilvl w:val="0"/>
                <w:numId w:val="22"/>
              </w:numPr>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The ISHS cannot accept any referrals for LARC for gynaecological reasons.</w:t>
            </w:r>
          </w:p>
          <w:p w14:paraId="5791781F" w14:textId="77777777" w:rsidR="002C16F2" w:rsidRPr="00072B22" w:rsidRDefault="002C16F2" w:rsidP="35283E35">
            <w:pPr>
              <w:jc w:val="left"/>
              <w:rPr>
                <w:rFonts w:asciiTheme="minorHAnsi" w:eastAsiaTheme="minorEastAsia" w:hAnsiTheme="minorHAnsi" w:cstheme="minorBidi"/>
                <w:szCs w:val="24"/>
              </w:rPr>
            </w:pPr>
          </w:p>
          <w:p w14:paraId="21FD0371" w14:textId="630804B5" w:rsidR="009A44D3" w:rsidRPr="00072B22" w:rsidRDefault="009A44D3" w:rsidP="35283E35">
            <w:pPr>
              <w:jc w:val="left"/>
              <w:rPr>
                <w:rFonts w:asciiTheme="minorHAnsi" w:eastAsiaTheme="minorEastAsia" w:hAnsiTheme="minorHAnsi" w:cstheme="minorBidi"/>
                <w:szCs w:val="24"/>
              </w:rPr>
            </w:pPr>
          </w:p>
          <w:p w14:paraId="0279BCAD" w14:textId="77777777" w:rsidR="009A44D3" w:rsidRPr="00072B22" w:rsidRDefault="009A44D3"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2.6 Provision of information</w:t>
            </w:r>
          </w:p>
          <w:p w14:paraId="1347FC49" w14:textId="77777777" w:rsidR="009A44D3" w:rsidRPr="00072B22" w:rsidRDefault="009A44D3" w:rsidP="35283E35">
            <w:pPr>
              <w:jc w:val="left"/>
              <w:rPr>
                <w:rStyle w:val="normaltextrun"/>
                <w:rFonts w:asciiTheme="minorHAnsi" w:hAnsiTheme="minorHAnsi" w:cstheme="minorBidi"/>
                <w:szCs w:val="24"/>
              </w:rPr>
            </w:pPr>
            <w:r w:rsidRPr="35283E35">
              <w:rPr>
                <w:rFonts w:asciiTheme="minorHAnsi" w:eastAsiaTheme="minorEastAsia" w:hAnsiTheme="minorHAnsi" w:cstheme="minorBidi"/>
                <w:b/>
                <w:bCs/>
                <w:szCs w:val="24"/>
              </w:rPr>
              <w:t>The GP practices providing this service will:</w:t>
            </w:r>
          </w:p>
          <w:p w14:paraId="044CD25E" w14:textId="77777777" w:rsidR="009E3CEF" w:rsidRPr="00072B22" w:rsidRDefault="009E3CEF" w:rsidP="35283E35">
            <w:pPr>
              <w:pStyle w:val="ListParagraph"/>
              <w:numPr>
                <w:ilvl w:val="0"/>
                <w:numId w:val="24"/>
              </w:numPr>
              <w:spacing w:after="0" w:line="240" w:lineRule="auto"/>
              <w:rPr>
                <w:sz w:val="24"/>
                <w:szCs w:val="24"/>
              </w:rPr>
            </w:pPr>
            <w:r w:rsidRPr="35283E35">
              <w:rPr>
                <w:sz w:val="24"/>
                <w:szCs w:val="24"/>
              </w:rPr>
              <w:t>Ensure that information about the availability of this service is communicated clearly to both patients and healthcare professionals, including details of how to access the service.</w:t>
            </w:r>
          </w:p>
          <w:p w14:paraId="444992C2" w14:textId="77777777" w:rsidR="009A44D3" w:rsidRPr="00072B22" w:rsidRDefault="009A44D3" w:rsidP="35283E35">
            <w:pPr>
              <w:pStyle w:val="ListParagraph"/>
              <w:numPr>
                <w:ilvl w:val="0"/>
                <w:numId w:val="16"/>
              </w:numPr>
              <w:spacing w:after="0" w:line="240" w:lineRule="auto"/>
              <w:rPr>
                <w:sz w:val="24"/>
                <w:szCs w:val="24"/>
              </w:rPr>
            </w:pPr>
            <w:r w:rsidRPr="35283E35">
              <w:rPr>
                <w:sz w:val="24"/>
                <w:szCs w:val="24"/>
              </w:rPr>
              <w:t xml:space="preserve">Recognise that the benefits of LARC are particularly important to the younger more fertile population with a higher risk of unplanned pregnancy and actively promote LARC to younger people, for example, including a LARC leaflet with prescriptions for oral contraceptive pills. </w:t>
            </w:r>
          </w:p>
          <w:p w14:paraId="76850BFA" w14:textId="31B5F8CA" w:rsidR="009A44D3" w:rsidRPr="00072B22" w:rsidRDefault="009A44D3" w:rsidP="35283E35">
            <w:pPr>
              <w:pStyle w:val="ListParagraph"/>
              <w:numPr>
                <w:ilvl w:val="0"/>
                <w:numId w:val="16"/>
              </w:numPr>
              <w:spacing w:after="0" w:line="240" w:lineRule="auto"/>
              <w:rPr>
                <w:sz w:val="24"/>
                <w:szCs w:val="24"/>
              </w:rPr>
            </w:pPr>
            <w:r w:rsidRPr="35283E35">
              <w:rPr>
                <w:sz w:val="24"/>
                <w:szCs w:val="24"/>
              </w:rPr>
              <w:t xml:space="preserve">Provide service users with information at the time of counselling and/or at the time of fitting, with information on duration of use, side effects, follow-up and those symptoms that may require urgent assessment. </w:t>
            </w:r>
          </w:p>
          <w:p w14:paraId="0DFAB844" w14:textId="77777777" w:rsidR="00FD67CC" w:rsidRPr="00072B22" w:rsidRDefault="00FD67CC" w:rsidP="35283E35">
            <w:pPr>
              <w:pStyle w:val="ListParagraph"/>
              <w:numPr>
                <w:ilvl w:val="0"/>
                <w:numId w:val="25"/>
              </w:numPr>
              <w:rPr>
                <w:color w:val="000000" w:themeColor="text1"/>
                <w:sz w:val="24"/>
                <w:szCs w:val="24"/>
              </w:rPr>
            </w:pPr>
            <w:r w:rsidRPr="35283E35">
              <w:rPr>
                <w:color w:val="000000" w:themeColor="text1"/>
                <w:sz w:val="24"/>
                <w:szCs w:val="24"/>
              </w:rPr>
              <w:t xml:space="preserve">Provide pre-conception advice for women of childbearing age when appropriate during LARC removal. This should include advice on folic acid, diet; weight management; smoking and alcohol consumption; illicit drug use; prescription, over-the-counter, and herbal medicines; cervical screening; and immunisation status as per </w:t>
            </w:r>
            <w:hyperlink r:id="rId16">
              <w:r w:rsidRPr="35283E35">
                <w:rPr>
                  <w:rStyle w:val="Hyperlink"/>
                  <w:sz w:val="24"/>
                  <w:szCs w:val="24"/>
                </w:rPr>
                <w:t>NICE guidance</w:t>
              </w:r>
            </w:hyperlink>
            <w:r w:rsidRPr="35283E35">
              <w:rPr>
                <w:color w:val="000000" w:themeColor="text1"/>
                <w:sz w:val="24"/>
                <w:szCs w:val="24"/>
              </w:rPr>
              <w:t>.</w:t>
            </w:r>
          </w:p>
          <w:p w14:paraId="75BAF243" w14:textId="77777777" w:rsidR="00FD67CC" w:rsidRPr="00072B22" w:rsidRDefault="00FD67CC" w:rsidP="35283E35">
            <w:pPr>
              <w:pStyle w:val="ListParagraph"/>
              <w:spacing w:after="0" w:line="240" w:lineRule="auto"/>
              <w:ind w:left="678"/>
              <w:rPr>
                <w:sz w:val="24"/>
                <w:szCs w:val="24"/>
              </w:rPr>
            </w:pPr>
          </w:p>
          <w:p w14:paraId="7DEED901" w14:textId="1DD547F2" w:rsidR="009C7D7E" w:rsidRPr="00072B22" w:rsidRDefault="009C7D7E" w:rsidP="35283E35">
            <w:pPr>
              <w:jc w:val="left"/>
              <w:rPr>
                <w:rFonts w:asciiTheme="minorHAnsi" w:eastAsia="MS ??" w:hAnsiTheme="minorHAnsi" w:cstheme="minorBidi"/>
                <w:szCs w:val="24"/>
              </w:rPr>
            </w:pPr>
            <w:r w:rsidRPr="35283E35">
              <w:rPr>
                <w:rFonts w:asciiTheme="minorHAnsi" w:hAnsiTheme="minorHAnsi" w:cstheme="minorBidi"/>
                <w:b/>
                <w:bCs/>
                <w:color w:val="339966"/>
                <w:szCs w:val="24"/>
              </w:rPr>
              <w:t>2.7 Activity planning assumptions</w:t>
            </w:r>
            <w:r w:rsidRPr="35283E35">
              <w:rPr>
                <w:rFonts w:asciiTheme="minorHAnsi" w:eastAsia="MS ??" w:hAnsiTheme="minorHAnsi" w:cstheme="minorBidi"/>
                <w:szCs w:val="24"/>
              </w:rPr>
              <w:t xml:space="preserve"> </w:t>
            </w:r>
          </w:p>
          <w:p w14:paraId="1B8C06B6" w14:textId="155C8000" w:rsidR="009C7D7E" w:rsidRPr="00072B22" w:rsidRDefault="009C7D7E" w:rsidP="35283E35">
            <w:pPr>
              <w:jc w:val="left"/>
              <w:rPr>
                <w:rFonts w:asciiTheme="minorHAnsi" w:eastAsia="MS ??" w:hAnsiTheme="minorHAnsi" w:cstheme="minorBidi"/>
                <w:szCs w:val="24"/>
              </w:rPr>
            </w:pPr>
            <w:r w:rsidRPr="35283E35">
              <w:rPr>
                <w:rFonts w:asciiTheme="minorHAnsi" w:eastAsia="MS ??" w:hAnsiTheme="minorHAnsi" w:cstheme="minorBidi"/>
                <w:szCs w:val="24"/>
              </w:rPr>
              <w:t xml:space="preserve">The service should be available during the practice opening hours. </w:t>
            </w:r>
          </w:p>
          <w:p w14:paraId="6D828B2A" w14:textId="77777777" w:rsidR="009C7D7E" w:rsidRPr="00072B22" w:rsidRDefault="009C7D7E" w:rsidP="35283E35">
            <w:pPr>
              <w:jc w:val="left"/>
              <w:rPr>
                <w:rFonts w:asciiTheme="minorHAnsi" w:hAnsiTheme="minorHAnsi" w:cstheme="minorBidi"/>
                <w:szCs w:val="24"/>
              </w:rPr>
            </w:pPr>
          </w:p>
        </w:tc>
      </w:tr>
      <w:tr w:rsidR="004D4CCC" w:rsidRPr="00072B22" w14:paraId="52B7EED9" w14:textId="77777777" w:rsidTr="7E8D1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245" w:type="dxa"/>
            <w:gridSpan w:val="3"/>
            <w:tcBorders>
              <w:top w:val="single" w:sz="4" w:space="0" w:color="999999"/>
              <w:left w:val="single" w:sz="4" w:space="0" w:color="999999"/>
              <w:bottom w:val="single" w:sz="4" w:space="0" w:color="999999"/>
              <w:right w:val="single" w:sz="4" w:space="0" w:color="999999"/>
            </w:tcBorders>
            <w:shd w:val="clear" w:color="auto" w:fill="767171" w:themeFill="background2" w:themeFillShade="80"/>
            <w:vAlign w:val="center"/>
          </w:tcPr>
          <w:p w14:paraId="5BF14A30" w14:textId="77777777" w:rsidR="009A44D3" w:rsidRPr="00072B22" w:rsidRDefault="009A44D3" w:rsidP="35283E35">
            <w:pPr>
              <w:jc w:val="left"/>
              <w:rPr>
                <w:rFonts w:asciiTheme="minorHAnsi" w:eastAsiaTheme="minorEastAsia" w:hAnsiTheme="minorHAnsi" w:cstheme="minorBidi"/>
                <w:szCs w:val="24"/>
              </w:rPr>
            </w:pPr>
            <w:r w:rsidRPr="35283E35">
              <w:rPr>
                <w:rFonts w:asciiTheme="minorHAnsi" w:eastAsia="MS ??" w:hAnsiTheme="minorHAnsi" w:cstheme="minorBidi"/>
                <w:color w:val="FFC000" w:themeColor="accent4"/>
                <w:szCs w:val="24"/>
              </w:rPr>
              <w:lastRenderedPageBreak/>
              <w:t>3. Applicable Service Standards &amp; Clinical Governance Requirements</w:t>
            </w:r>
          </w:p>
        </w:tc>
      </w:tr>
      <w:tr w:rsidR="008C2DBE" w:rsidRPr="00072B22" w14:paraId="6DE9490A" w14:textId="77777777" w:rsidTr="7E8D1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1"/>
        </w:trPr>
        <w:tc>
          <w:tcPr>
            <w:tcW w:w="9245" w:type="dxa"/>
            <w:gridSpan w:val="3"/>
            <w:tcBorders>
              <w:top w:val="single" w:sz="4" w:space="0" w:color="999999"/>
              <w:left w:val="single" w:sz="4" w:space="0" w:color="999999"/>
              <w:bottom w:val="single" w:sz="4" w:space="0" w:color="999999"/>
              <w:right w:val="single" w:sz="4" w:space="0" w:color="999999"/>
            </w:tcBorders>
          </w:tcPr>
          <w:p w14:paraId="7552EBBF" w14:textId="48C9CDC5" w:rsidR="009A44D3" w:rsidRPr="00072B22" w:rsidRDefault="009A44D3" w:rsidP="35283E35">
            <w:pPr>
              <w:pStyle w:val="BodyText"/>
              <w:spacing w:after="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3.1 Clinical Effectiveness &amp; Research-Applicable national &amp; local standards</w:t>
            </w:r>
          </w:p>
          <w:p w14:paraId="092AF454" w14:textId="5751C69B" w:rsidR="009A44D3" w:rsidRPr="00072B22" w:rsidRDefault="009A44D3" w:rsidP="35283E35">
            <w:pPr>
              <w:jc w:val="left"/>
              <w:rPr>
                <w:rFonts w:asciiTheme="minorHAnsi" w:hAnsiTheme="minorHAnsi" w:cstheme="minorBidi"/>
                <w:szCs w:val="24"/>
              </w:rPr>
            </w:pPr>
            <w:r w:rsidRPr="35283E35">
              <w:rPr>
                <w:rFonts w:asciiTheme="minorHAnsi" w:hAnsiTheme="minorHAnsi" w:cstheme="minorBidi"/>
                <w:szCs w:val="24"/>
              </w:rPr>
              <w:t>The service should be delivered in accordance with latest</w:t>
            </w:r>
            <w:r w:rsidR="00FD67CC" w:rsidRPr="35283E35">
              <w:rPr>
                <w:rFonts w:asciiTheme="minorHAnsi" w:hAnsiTheme="minorHAnsi" w:cstheme="minorBidi"/>
                <w:szCs w:val="24"/>
              </w:rPr>
              <w:t xml:space="preserve"> guidance and established clinical practice:</w:t>
            </w:r>
          </w:p>
          <w:p w14:paraId="20D10458"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lastRenderedPageBreak/>
              <w:t xml:space="preserve">The service will be provided in compliance with all </w:t>
            </w:r>
            <w:r w:rsidRPr="35283E35">
              <w:rPr>
                <w:rFonts w:asciiTheme="minorHAnsi" w:hAnsiTheme="minorHAnsi" w:cstheme="minorBidi"/>
                <w:b/>
                <w:bCs/>
                <w:szCs w:val="24"/>
              </w:rPr>
              <w:t xml:space="preserve">safeguarding </w:t>
            </w:r>
            <w:r w:rsidRPr="35283E35">
              <w:rPr>
                <w:rFonts w:asciiTheme="minorHAnsi" w:hAnsiTheme="minorHAnsi" w:cstheme="minorBidi"/>
                <w:szCs w:val="24"/>
              </w:rPr>
              <w:t xml:space="preserve">protocols, including:  </w:t>
            </w:r>
            <w:hyperlink r:id="rId17">
              <w:r w:rsidRPr="35283E35">
                <w:rPr>
                  <w:rStyle w:val="Hyperlink"/>
                  <w:rFonts w:asciiTheme="minorHAnsi" w:hAnsiTheme="minorHAnsi" w:cstheme="minorBidi"/>
                  <w:szCs w:val="24"/>
                </w:rPr>
                <w:t>Fraser Guidelines</w:t>
              </w:r>
            </w:hyperlink>
            <w:r w:rsidRPr="35283E35">
              <w:rPr>
                <w:rFonts w:asciiTheme="minorHAnsi" w:hAnsiTheme="minorHAnsi" w:cstheme="minorBidi"/>
                <w:szCs w:val="24"/>
                <w:u w:val="single"/>
              </w:rPr>
              <w:t xml:space="preserve">, </w:t>
            </w:r>
            <w:hyperlink r:id="rId18">
              <w:r w:rsidRPr="35283E35">
                <w:rPr>
                  <w:rStyle w:val="Hyperlink"/>
                  <w:rFonts w:asciiTheme="minorHAnsi" w:hAnsiTheme="minorHAnsi" w:cstheme="minorBidi"/>
                  <w:szCs w:val="24"/>
                </w:rPr>
                <w:t>BNSSG safeguarding information</w:t>
              </w:r>
            </w:hyperlink>
            <w:r w:rsidRPr="35283E35">
              <w:rPr>
                <w:rFonts w:asciiTheme="minorHAnsi" w:hAnsiTheme="minorHAnsi" w:cstheme="minorBidi"/>
                <w:szCs w:val="24"/>
              </w:rPr>
              <w:t xml:space="preserve">, </w:t>
            </w:r>
            <w:hyperlink r:id="rId19">
              <w:r w:rsidRPr="35283E35">
                <w:rPr>
                  <w:rStyle w:val="Hyperlink"/>
                  <w:rFonts w:asciiTheme="minorHAnsi" w:hAnsiTheme="minorHAnsi" w:cstheme="minorBidi"/>
                  <w:szCs w:val="24"/>
                </w:rPr>
                <w:t>Bichard checklist</w:t>
              </w:r>
            </w:hyperlink>
            <w:r w:rsidRPr="35283E35">
              <w:rPr>
                <w:rFonts w:asciiTheme="minorHAnsi" w:hAnsiTheme="minorHAnsi" w:cstheme="minorBidi"/>
                <w:szCs w:val="24"/>
              </w:rPr>
              <w:t xml:space="preserve"> and the </w:t>
            </w:r>
            <w:hyperlink r:id="rId20">
              <w:r w:rsidRPr="35283E35">
                <w:rPr>
                  <w:rStyle w:val="Hyperlink"/>
                  <w:rFonts w:asciiTheme="minorHAnsi" w:hAnsiTheme="minorHAnsi" w:cstheme="minorBidi"/>
                  <w:szCs w:val="24"/>
                </w:rPr>
                <w:t>You’re Welcome, Young People Friendly (YPF) standards</w:t>
              </w:r>
            </w:hyperlink>
            <w:r w:rsidRPr="35283E35">
              <w:rPr>
                <w:rFonts w:asciiTheme="minorHAnsi" w:hAnsiTheme="minorHAnsi" w:cstheme="minorBidi"/>
                <w:szCs w:val="24"/>
              </w:rPr>
              <w:t>.</w:t>
            </w:r>
          </w:p>
          <w:p w14:paraId="0DA07006"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Faculty of Sexual and Reproductive Healthcare [FSRH] (2023): </w:t>
            </w:r>
            <w:hyperlink r:id="rId21">
              <w:r w:rsidRPr="35283E35">
                <w:rPr>
                  <w:rStyle w:val="Hyperlink"/>
                  <w:rFonts w:asciiTheme="minorHAnsi" w:hAnsiTheme="minorHAnsi" w:cstheme="minorBidi"/>
                  <w:szCs w:val="24"/>
                </w:rPr>
                <w:t>Clinical Guideline: Intrauterine Contraception.</w:t>
              </w:r>
            </w:hyperlink>
          </w:p>
          <w:p w14:paraId="5EF657AA"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Faculty of Sexual and Reproductive Healthcare [FSRH]: </w:t>
            </w:r>
            <w:hyperlink r:id="rId22">
              <w:r w:rsidRPr="35283E35">
                <w:rPr>
                  <w:rStyle w:val="Hyperlink"/>
                  <w:rFonts w:asciiTheme="minorHAnsi" w:hAnsiTheme="minorHAnsi" w:cstheme="minorBidi"/>
                  <w:szCs w:val="24"/>
                </w:rPr>
                <w:t>Clinical Guideline: Method Specific guidelines</w:t>
              </w:r>
            </w:hyperlink>
            <w:r w:rsidRPr="35283E35">
              <w:rPr>
                <w:rFonts w:asciiTheme="minorHAnsi" w:hAnsiTheme="minorHAnsi" w:cstheme="minorBidi"/>
                <w:szCs w:val="24"/>
              </w:rPr>
              <w:t>.</w:t>
            </w:r>
          </w:p>
          <w:p w14:paraId="2B8E0B85"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FSRH (2023) Clinical Guideline: </w:t>
            </w:r>
            <w:hyperlink r:id="rId23">
              <w:r w:rsidRPr="35283E35">
                <w:rPr>
                  <w:rStyle w:val="Hyperlink"/>
                  <w:rFonts w:asciiTheme="minorHAnsi" w:hAnsiTheme="minorHAnsi" w:cstheme="minorBidi"/>
                  <w:szCs w:val="24"/>
                </w:rPr>
                <w:t>Emergency Contraception</w:t>
              </w:r>
            </w:hyperlink>
            <w:r w:rsidRPr="35283E35">
              <w:rPr>
                <w:rFonts w:asciiTheme="minorHAnsi" w:hAnsiTheme="minorHAnsi" w:cstheme="minorBidi"/>
                <w:szCs w:val="24"/>
              </w:rPr>
              <w:t xml:space="preserve">. </w:t>
            </w:r>
          </w:p>
          <w:p w14:paraId="035CC357"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National Institute for Health and Clinical Excellence [NICE] (2005): </w:t>
            </w:r>
            <w:hyperlink r:id="rId24">
              <w:r w:rsidRPr="35283E35">
                <w:rPr>
                  <w:rStyle w:val="Hyperlink"/>
                  <w:rFonts w:asciiTheme="minorHAnsi" w:hAnsiTheme="minorHAnsi" w:cstheme="minorBidi"/>
                  <w:szCs w:val="24"/>
                </w:rPr>
                <w:t>Long acting reversible contraception. Clinical Guidance 30</w:t>
              </w:r>
            </w:hyperlink>
            <w:r w:rsidRPr="35283E35">
              <w:rPr>
                <w:rFonts w:asciiTheme="minorHAnsi" w:hAnsiTheme="minorHAnsi" w:cstheme="minorBidi"/>
                <w:szCs w:val="24"/>
              </w:rPr>
              <w:t>.</w:t>
            </w:r>
          </w:p>
          <w:p w14:paraId="18BE81CD"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NICE (2022) </w:t>
            </w:r>
            <w:hyperlink r:id="rId25">
              <w:r w:rsidRPr="35283E35">
                <w:rPr>
                  <w:rStyle w:val="Hyperlink"/>
                  <w:rFonts w:asciiTheme="minorHAnsi" w:hAnsiTheme="minorHAnsi" w:cstheme="minorBidi"/>
                  <w:szCs w:val="24"/>
                </w:rPr>
                <w:t>Reducing sexually transmitted infections, NICE Guideline 221</w:t>
              </w:r>
            </w:hyperlink>
            <w:r w:rsidRPr="35283E35">
              <w:rPr>
                <w:rFonts w:asciiTheme="minorHAnsi" w:hAnsiTheme="minorHAnsi" w:cstheme="minorBidi"/>
                <w:szCs w:val="24"/>
              </w:rPr>
              <w:t>.</w:t>
            </w:r>
          </w:p>
          <w:p w14:paraId="5F865ADB"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NICE (2023) </w:t>
            </w:r>
            <w:hyperlink r:id="rId26">
              <w:r w:rsidRPr="35283E35">
                <w:rPr>
                  <w:rStyle w:val="Hyperlink"/>
                  <w:rFonts w:asciiTheme="minorHAnsi" w:hAnsiTheme="minorHAnsi" w:cstheme="minorBidi"/>
                  <w:szCs w:val="24"/>
                </w:rPr>
                <w:t>Pre-conception - advice and management</w:t>
              </w:r>
            </w:hyperlink>
          </w:p>
          <w:p w14:paraId="4058650A" w14:textId="77777777" w:rsidR="000035DD" w:rsidRP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BASHH (2019) UK </w:t>
            </w:r>
            <w:hyperlink r:id="rId27">
              <w:r w:rsidRPr="35283E35">
                <w:rPr>
                  <w:rStyle w:val="Hyperlink"/>
                  <w:rFonts w:asciiTheme="minorHAnsi" w:hAnsiTheme="minorHAnsi" w:cstheme="minorBidi"/>
                  <w:szCs w:val="24"/>
                </w:rPr>
                <w:t>National Guideline for consultations requiring sexual history taking</w:t>
              </w:r>
            </w:hyperlink>
            <w:r w:rsidRPr="35283E35">
              <w:rPr>
                <w:rFonts w:asciiTheme="minorHAnsi" w:hAnsiTheme="minorHAnsi" w:cstheme="minorBidi"/>
                <w:szCs w:val="24"/>
              </w:rPr>
              <w:t>.</w:t>
            </w:r>
          </w:p>
          <w:p w14:paraId="1A29168A" w14:textId="77777777" w:rsidR="000035DD" w:rsidRPr="000035DD" w:rsidRDefault="000035DD" w:rsidP="35283E35">
            <w:pPr>
              <w:numPr>
                <w:ilvl w:val="0"/>
                <w:numId w:val="28"/>
              </w:numPr>
              <w:jc w:val="left"/>
              <w:rPr>
                <w:rFonts w:asciiTheme="minorHAnsi" w:hAnsiTheme="minorHAnsi" w:cstheme="minorBidi"/>
                <w:szCs w:val="24"/>
                <w:u w:val="single"/>
              </w:rPr>
            </w:pPr>
            <w:r w:rsidRPr="35283E35">
              <w:rPr>
                <w:rFonts w:asciiTheme="minorHAnsi" w:hAnsiTheme="minorHAnsi" w:cstheme="minorBidi"/>
                <w:szCs w:val="24"/>
              </w:rPr>
              <w:t xml:space="preserve">BNSSG </w:t>
            </w:r>
            <w:hyperlink r:id="rId28">
              <w:r w:rsidRPr="35283E35">
                <w:rPr>
                  <w:rStyle w:val="Hyperlink"/>
                  <w:rFonts w:asciiTheme="minorHAnsi" w:hAnsiTheme="minorHAnsi" w:cstheme="minorBidi"/>
                  <w:szCs w:val="24"/>
                </w:rPr>
                <w:t>Remedy</w:t>
              </w:r>
            </w:hyperlink>
            <w:r w:rsidRPr="35283E35">
              <w:rPr>
                <w:rFonts w:asciiTheme="minorHAnsi" w:hAnsiTheme="minorHAnsi" w:cstheme="minorBidi"/>
                <w:szCs w:val="24"/>
                <w:u w:val="single"/>
              </w:rPr>
              <w:t xml:space="preserve"> </w:t>
            </w:r>
          </w:p>
          <w:p w14:paraId="3458B347" w14:textId="6564951E" w:rsidR="000035DD" w:rsidRDefault="000035DD" w:rsidP="35283E35">
            <w:pPr>
              <w:numPr>
                <w:ilvl w:val="0"/>
                <w:numId w:val="28"/>
              </w:numPr>
              <w:jc w:val="left"/>
              <w:rPr>
                <w:rFonts w:asciiTheme="minorHAnsi" w:hAnsiTheme="minorHAnsi" w:cstheme="minorBidi"/>
                <w:szCs w:val="24"/>
              </w:rPr>
            </w:pPr>
            <w:r w:rsidRPr="35283E35">
              <w:rPr>
                <w:rFonts w:asciiTheme="minorHAnsi" w:hAnsiTheme="minorHAnsi" w:cstheme="minorBidi"/>
                <w:szCs w:val="24"/>
              </w:rPr>
              <w:t xml:space="preserve">Staff are expected to follow local </w:t>
            </w:r>
            <w:hyperlink r:id="rId29">
              <w:r w:rsidRPr="35283E35">
                <w:rPr>
                  <w:rStyle w:val="Hyperlink"/>
                  <w:rFonts w:asciiTheme="minorHAnsi" w:hAnsiTheme="minorHAnsi" w:cstheme="minorBidi"/>
                  <w:szCs w:val="24"/>
                </w:rPr>
                <w:t>Patient Group Directives</w:t>
              </w:r>
            </w:hyperlink>
            <w:r w:rsidRPr="35283E35">
              <w:rPr>
                <w:rFonts w:asciiTheme="minorHAnsi" w:hAnsiTheme="minorHAnsi" w:cstheme="minorBidi"/>
                <w:szCs w:val="24"/>
              </w:rPr>
              <w:t>, if required.</w:t>
            </w:r>
          </w:p>
          <w:p w14:paraId="0DEE586A" w14:textId="77777777" w:rsidR="00E8313B" w:rsidRPr="000035DD" w:rsidRDefault="00E8313B" w:rsidP="35283E35">
            <w:pPr>
              <w:ind w:left="720"/>
              <w:jc w:val="left"/>
              <w:rPr>
                <w:rFonts w:asciiTheme="minorHAnsi" w:hAnsiTheme="minorHAnsi" w:cstheme="minorBidi"/>
                <w:szCs w:val="24"/>
              </w:rPr>
            </w:pPr>
          </w:p>
          <w:p w14:paraId="0DE675A7" w14:textId="030AD280" w:rsidR="0051545E" w:rsidRPr="00072B22" w:rsidRDefault="00FD67CC" w:rsidP="35283E35">
            <w:pPr>
              <w:rPr>
                <w:rFonts w:asciiTheme="minorHAnsi" w:hAnsiTheme="minorHAnsi" w:cstheme="minorBidi"/>
                <w:szCs w:val="24"/>
              </w:rPr>
            </w:pPr>
            <w:r w:rsidRPr="35283E35">
              <w:rPr>
                <w:rFonts w:asciiTheme="minorHAnsi" w:hAnsiTheme="minorHAnsi" w:cstheme="minorBidi"/>
                <w:szCs w:val="24"/>
              </w:rPr>
              <w:t>Whilst this document includes guidance current at the time of publication, practices must ensure that services reflect updates in guidance, best practice and recommendations as and when they are produced</w:t>
            </w:r>
            <w:r w:rsidR="00E8313B" w:rsidRPr="35283E35">
              <w:rPr>
                <w:rFonts w:asciiTheme="minorHAnsi" w:hAnsiTheme="minorHAnsi" w:cstheme="minorBidi"/>
                <w:szCs w:val="24"/>
              </w:rPr>
              <w:t>.</w:t>
            </w:r>
          </w:p>
          <w:p w14:paraId="66FFF4D2" w14:textId="77777777" w:rsidR="00FD67CC" w:rsidRPr="00072B22" w:rsidRDefault="00FD67CC" w:rsidP="35283E35">
            <w:pPr>
              <w:pStyle w:val="BodyText"/>
              <w:spacing w:after="0"/>
              <w:jc w:val="left"/>
              <w:rPr>
                <w:rFonts w:asciiTheme="minorHAnsi" w:eastAsiaTheme="minorEastAsia" w:hAnsiTheme="minorHAnsi" w:cstheme="minorBidi"/>
                <w:b/>
                <w:bCs/>
                <w:color w:val="339966"/>
                <w:szCs w:val="24"/>
              </w:rPr>
            </w:pPr>
          </w:p>
          <w:p w14:paraId="4B0545A5" w14:textId="7E2793CE" w:rsidR="009A44D3" w:rsidRPr="00072B22" w:rsidRDefault="000035DD" w:rsidP="35283E35">
            <w:pPr>
              <w:pStyle w:val="BodyText"/>
              <w:spacing w:after="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3.</w:t>
            </w:r>
            <w:r w:rsidR="000D6C67" w:rsidRPr="35283E35">
              <w:rPr>
                <w:rFonts w:asciiTheme="minorHAnsi" w:eastAsiaTheme="minorEastAsia" w:hAnsiTheme="minorHAnsi" w:cstheme="minorBidi"/>
                <w:b/>
                <w:bCs/>
                <w:color w:val="339966"/>
                <w:szCs w:val="24"/>
              </w:rPr>
              <w:t xml:space="preserve">2 </w:t>
            </w:r>
            <w:r w:rsidR="009A44D3" w:rsidRPr="35283E35">
              <w:rPr>
                <w:rFonts w:asciiTheme="minorHAnsi" w:eastAsiaTheme="minorEastAsia" w:hAnsiTheme="minorHAnsi" w:cstheme="minorBidi"/>
                <w:b/>
                <w:bCs/>
                <w:color w:val="339966"/>
                <w:szCs w:val="24"/>
              </w:rPr>
              <w:t>Audit</w:t>
            </w:r>
          </w:p>
          <w:p w14:paraId="32E63FC1" w14:textId="77777777" w:rsidR="000035DD" w:rsidRPr="000035DD" w:rsidRDefault="000035DD" w:rsidP="35283E35">
            <w:pPr>
              <w:pStyle w:val="BodyText"/>
              <w:rPr>
                <w:rFonts w:asciiTheme="minorHAnsi" w:eastAsiaTheme="minorEastAsia" w:hAnsiTheme="minorHAnsi" w:cstheme="minorBidi"/>
                <w:szCs w:val="24"/>
              </w:rPr>
            </w:pPr>
            <w:r w:rsidRPr="35283E35">
              <w:rPr>
                <w:rFonts w:asciiTheme="minorHAnsi" w:eastAsiaTheme="minorEastAsia" w:hAnsiTheme="minorHAnsi" w:cstheme="minorBidi"/>
                <w:szCs w:val="24"/>
              </w:rPr>
              <w:t>Practices will be expected to take part in public health audits as required. This data may be shared with the ISHS and other local stakeholders for the purposes of supporting and developing the service capacity and improvement. This may include an audit of service activity, patient demographics, outcomes, wait times, inter-practice referrals, the LARC fitter workforce and patient experience.</w:t>
            </w:r>
          </w:p>
          <w:p w14:paraId="521B53F8" w14:textId="77777777" w:rsidR="009C7D7E" w:rsidRPr="00072B22" w:rsidRDefault="009C7D7E" w:rsidP="35283E35">
            <w:pPr>
              <w:pStyle w:val="BodyText"/>
              <w:spacing w:after="0"/>
              <w:jc w:val="left"/>
              <w:rPr>
                <w:rFonts w:asciiTheme="minorHAnsi" w:eastAsiaTheme="minorEastAsia" w:hAnsiTheme="minorHAnsi" w:cstheme="minorBidi"/>
                <w:b/>
                <w:bCs/>
                <w:color w:val="339966"/>
                <w:szCs w:val="24"/>
              </w:rPr>
            </w:pPr>
          </w:p>
          <w:p w14:paraId="50CBA8EF" w14:textId="56388A37" w:rsidR="009A44D3" w:rsidRPr="00072B22" w:rsidRDefault="009A44D3" w:rsidP="35283E35">
            <w:pPr>
              <w:pStyle w:val="BodyText"/>
              <w:spacing w:after="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 xml:space="preserve">3.3 Risk Management </w:t>
            </w:r>
          </w:p>
          <w:p w14:paraId="301CAADF" w14:textId="77777777" w:rsidR="009A44D3" w:rsidRPr="00072B22" w:rsidRDefault="009A44D3" w:rsidP="35283E35">
            <w:pPr>
              <w:pStyle w:val="BodyText"/>
              <w:numPr>
                <w:ilvl w:val="0"/>
                <w:numId w:val="14"/>
              </w:numPr>
              <w:suppressAutoHyphens w:val="0"/>
              <w:spacing w:after="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 xml:space="preserve">Practices must comply with latest Infection Prevention Control (IPC) guidance. </w:t>
            </w:r>
          </w:p>
          <w:p w14:paraId="56D402E1" w14:textId="77777777" w:rsidR="009A44D3" w:rsidRPr="00072B22" w:rsidRDefault="009A44D3" w:rsidP="35283E35">
            <w:pPr>
              <w:pStyle w:val="ListParagraph"/>
              <w:keepNext/>
              <w:keepLines/>
              <w:numPr>
                <w:ilvl w:val="0"/>
                <w:numId w:val="14"/>
              </w:numPr>
              <w:spacing w:after="0" w:line="240" w:lineRule="auto"/>
              <w:rPr>
                <w:sz w:val="24"/>
                <w:szCs w:val="24"/>
              </w:rPr>
            </w:pPr>
            <w:r w:rsidRPr="35283E35">
              <w:rPr>
                <w:sz w:val="24"/>
                <w:szCs w:val="24"/>
              </w:rPr>
              <w:t>Any serious incidents need to be reported to the commissioner, and in accordance with the Practices local incident reporting policy and comply with the requirements and arrangements for notification of deaths and other incidents to CQC in accordance with CQC Regulations. If the Practice gives a notification to the CQC or any other Regulatory Body which directly or indirectly concerns any Service User, the Practices must send a copy of it to the Authority within 5 Business Days.</w:t>
            </w:r>
          </w:p>
          <w:p w14:paraId="1E7F51B9" w14:textId="77777777" w:rsidR="009A44D3" w:rsidRPr="00072B22" w:rsidRDefault="009A44D3" w:rsidP="35283E35">
            <w:pPr>
              <w:pStyle w:val="ListParagraph"/>
              <w:keepNext/>
              <w:keepLines/>
              <w:numPr>
                <w:ilvl w:val="0"/>
                <w:numId w:val="14"/>
              </w:numPr>
              <w:spacing w:after="0" w:line="240" w:lineRule="auto"/>
              <w:rPr>
                <w:sz w:val="24"/>
                <w:szCs w:val="24"/>
              </w:rPr>
            </w:pPr>
            <w:r w:rsidRPr="35283E35">
              <w:rPr>
                <w:sz w:val="24"/>
                <w:szCs w:val="24"/>
              </w:rPr>
              <w:t xml:space="preserve">Any serious incidents also need to be reported in accordance with the providers local incident reporting policy and NHSE reporting requirements: </w:t>
            </w:r>
            <w:hyperlink r:id="rId30">
              <w:r w:rsidRPr="35283E35">
                <w:rPr>
                  <w:rStyle w:val="Hyperlink"/>
                  <w:sz w:val="24"/>
                  <w:szCs w:val="24"/>
                </w:rPr>
                <w:t>www.england.nhs.uk/patient-safety/patient-safety-insight/learning-from-patient-safety-events/</w:t>
              </w:r>
            </w:hyperlink>
            <w:r w:rsidRPr="35283E35">
              <w:rPr>
                <w:sz w:val="24"/>
                <w:szCs w:val="24"/>
              </w:rPr>
              <w:t xml:space="preserve"> as applicable and notified to the commissioner as above. </w:t>
            </w:r>
          </w:p>
          <w:p w14:paraId="156EF3D6" w14:textId="77777777" w:rsidR="009A44D3" w:rsidRPr="00072B22" w:rsidRDefault="009A44D3" w:rsidP="35283E35">
            <w:pPr>
              <w:pStyle w:val="ListParagraph"/>
              <w:keepNext/>
              <w:keepLines/>
              <w:numPr>
                <w:ilvl w:val="0"/>
                <w:numId w:val="14"/>
              </w:numPr>
              <w:spacing w:after="0" w:line="240" w:lineRule="auto"/>
              <w:rPr>
                <w:sz w:val="24"/>
                <w:szCs w:val="24"/>
              </w:rPr>
            </w:pPr>
            <w:r w:rsidRPr="35283E35">
              <w:rPr>
                <w:sz w:val="24"/>
                <w:szCs w:val="24"/>
              </w:rPr>
              <w:t>Practices must comply with the arrangements for reporting, investigating, implementing, and sharing the Lessons Learned from Serious Incidents.</w:t>
            </w:r>
          </w:p>
          <w:p w14:paraId="5546FD94" w14:textId="77777777" w:rsidR="00327DF7" w:rsidRPr="00072B22" w:rsidRDefault="00327DF7" w:rsidP="35283E35">
            <w:pPr>
              <w:pStyle w:val="BodyText"/>
              <w:spacing w:after="0"/>
              <w:jc w:val="left"/>
              <w:rPr>
                <w:rFonts w:asciiTheme="minorHAnsi" w:eastAsiaTheme="minorEastAsia" w:hAnsiTheme="minorHAnsi" w:cstheme="minorBidi"/>
                <w:b/>
                <w:bCs/>
                <w:color w:val="339966"/>
                <w:szCs w:val="24"/>
              </w:rPr>
            </w:pPr>
          </w:p>
          <w:p w14:paraId="5C8D131C" w14:textId="6FFF3060" w:rsidR="009A44D3" w:rsidRPr="00072B22" w:rsidRDefault="009A44D3" w:rsidP="35283E35">
            <w:pPr>
              <w:pStyle w:val="BodyText"/>
              <w:spacing w:after="0"/>
              <w:jc w:val="left"/>
              <w:rPr>
                <w:rFonts w:asciiTheme="minorHAnsi" w:eastAsiaTheme="minorEastAsia" w:hAnsiTheme="minorHAnsi" w:cstheme="minorBidi"/>
                <w:szCs w:val="24"/>
              </w:rPr>
            </w:pPr>
            <w:r w:rsidRPr="35283E35">
              <w:rPr>
                <w:rFonts w:asciiTheme="minorHAnsi" w:eastAsiaTheme="minorEastAsia" w:hAnsiTheme="minorHAnsi" w:cstheme="minorBidi"/>
                <w:b/>
                <w:bCs/>
                <w:color w:val="339966"/>
                <w:szCs w:val="24"/>
              </w:rPr>
              <w:t>3.</w:t>
            </w:r>
            <w:r w:rsidR="000D6C67" w:rsidRPr="35283E35">
              <w:rPr>
                <w:rFonts w:asciiTheme="minorHAnsi" w:eastAsiaTheme="minorEastAsia" w:hAnsiTheme="minorHAnsi" w:cstheme="minorBidi"/>
                <w:b/>
                <w:bCs/>
                <w:color w:val="339966"/>
                <w:szCs w:val="24"/>
              </w:rPr>
              <w:t>4</w:t>
            </w:r>
            <w:r w:rsidRPr="35283E35">
              <w:rPr>
                <w:rFonts w:asciiTheme="minorHAnsi" w:eastAsiaTheme="minorEastAsia" w:hAnsiTheme="minorHAnsi" w:cstheme="minorBidi"/>
                <w:b/>
                <w:bCs/>
                <w:color w:val="339966"/>
                <w:szCs w:val="24"/>
              </w:rPr>
              <w:t xml:space="preserve"> Patient and Public Involvement (PPI)</w:t>
            </w:r>
            <w:r w:rsidRPr="35283E35">
              <w:rPr>
                <w:rFonts w:asciiTheme="minorHAnsi" w:eastAsiaTheme="minorEastAsia" w:hAnsiTheme="minorHAnsi" w:cstheme="minorBidi"/>
                <w:szCs w:val="24"/>
              </w:rPr>
              <w:t xml:space="preserve"> </w:t>
            </w:r>
          </w:p>
          <w:p w14:paraId="2B23061F" w14:textId="77777777" w:rsidR="009A44D3" w:rsidRPr="00072B22" w:rsidRDefault="009A44D3" w:rsidP="35283E35">
            <w:pPr>
              <w:pStyle w:val="ListParagraph"/>
              <w:numPr>
                <w:ilvl w:val="0"/>
                <w:numId w:val="14"/>
              </w:numPr>
              <w:suppressAutoHyphens/>
              <w:spacing w:after="0" w:line="240" w:lineRule="auto"/>
              <w:rPr>
                <w:sz w:val="24"/>
                <w:szCs w:val="24"/>
              </w:rPr>
            </w:pPr>
            <w:r w:rsidRPr="35283E35">
              <w:rPr>
                <w:sz w:val="24"/>
                <w:szCs w:val="24"/>
              </w:rPr>
              <w:lastRenderedPageBreak/>
              <w:t>The practice co-operates with any locally agreed North Somerset led assessment of service user experience. This includes being willing to participate in periodic ‘mystery shopping’ exercises to monitor quality.</w:t>
            </w:r>
          </w:p>
          <w:p w14:paraId="0D757329" w14:textId="77777777" w:rsidR="006E69CF" w:rsidRPr="00072B22" w:rsidRDefault="006E69CF" w:rsidP="35283E35">
            <w:pPr>
              <w:pStyle w:val="ListParagraph"/>
              <w:numPr>
                <w:ilvl w:val="0"/>
                <w:numId w:val="14"/>
              </w:numPr>
              <w:rPr>
                <w:sz w:val="24"/>
                <w:szCs w:val="24"/>
              </w:rPr>
            </w:pPr>
            <w:r w:rsidRPr="35283E35">
              <w:rPr>
                <w:sz w:val="24"/>
                <w:szCs w:val="24"/>
              </w:rPr>
              <w:t>Patients receiving services are encouraged to complete National Patient Surveys, and any local patient surveys.</w:t>
            </w:r>
          </w:p>
          <w:p w14:paraId="55993D5F" w14:textId="290BDEDE" w:rsidR="00327DF7" w:rsidRPr="00072B22" w:rsidRDefault="006E69CF" w:rsidP="35283E35">
            <w:pPr>
              <w:pStyle w:val="ListParagraph"/>
              <w:numPr>
                <w:ilvl w:val="0"/>
                <w:numId w:val="14"/>
              </w:numPr>
              <w:rPr>
                <w:sz w:val="24"/>
                <w:szCs w:val="24"/>
              </w:rPr>
            </w:pPr>
            <w:r w:rsidRPr="35283E35">
              <w:rPr>
                <w:sz w:val="24"/>
                <w:szCs w:val="24"/>
              </w:rPr>
              <w:t>The provider facilitates requests from the commissioner to invite patients in receipt of services covered by this contract to provide anonymous feedback (see Appendix D of the main contract).</w:t>
            </w:r>
          </w:p>
          <w:p w14:paraId="6C9E7620" w14:textId="77777777" w:rsidR="0051545E" w:rsidRPr="00072B22" w:rsidRDefault="0051545E" w:rsidP="35283E35">
            <w:pPr>
              <w:pStyle w:val="ListParagraph"/>
              <w:rPr>
                <w:sz w:val="24"/>
                <w:szCs w:val="24"/>
              </w:rPr>
            </w:pPr>
          </w:p>
          <w:p w14:paraId="79AE8AC8" w14:textId="28D52B5C" w:rsidR="009A44D3" w:rsidRPr="00072B22" w:rsidRDefault="009A44D3" w:rsidP="35283E35">
            <w:pPr>
              <w:pStyle w:val="BodyText"/>
              <w:spacing w:after="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3.</w:t>
            </w:r>
            <w:r w:rsidR="000D6C67" w:rsidRPr="35283E35">
              <w:rPr>
                <w:rFonts w:asciiTheme="minorHAnsi" w:eastAsiaTheme="minorEastAsia" w:hAnsiTheme="minorHAnsi" w:cstheme="minorBidi"/>
                <w:b/>
                <w:bCs/>
                <w:color w:val="339966"/>
                <w:szCs w:val="24"/>
              </w:rPr>
              <w:t>5</w:t>
            </w:r>
            <w:r w:rsidRPr="35283E35">
              <w:rPr>
                <w:rFonts w:asciiTheme="minorHAnsi" w:eastAsiaTheme="minorEastAsia" w:hAnsiTheme="minorHAnsi" w:cstheme="minorBidi"/>
                <w:b/>
                <w:bCs/>
                <w:color w:val="339966"/>
                <w:szCs w:val="24"/>
              </w:rPr>
              <w:t xml:space="preserve"> Education and Training</w:t>
            </w:r>
          </w:p>
          <w:p w14:paraId="09E21593" w14:textId="77777777" w:rsidR="000035DD" w:rsidRPr="00072B22" w:rsidRDefault="000035DD" w:rsidP="35283E35">
            <w:pPr>
              <w:pStyle w:val="ListParagraph"/>
              <w:numPr>
                <w:ilvl w:val="0"/>
                <w:numId w:val="29"/>
              </w:numPr>
              <w:spacing w:after="0" w:line="240" w:lineRule="auto"/>
              <w:rPr>
                <w:sz w:val="24"/>
                <w:szCs w:val="24"/>
              </w:rPr>
            </w:pPr>
            <w:r w:rsidRPr="35283E35">
              <w:rPr>
                <w:sz w:val="24"/>
                <w:szCs w:val="24"/>
              </w:rPr>
              <w:t xml:space="preserve">All practitioners fitting and removing implants should hold the </w:t>
            </w:r>
            <w:hyperlink r:id="rId31">
              <w:r w:rsidRPr="35283E35">
                <w:rPr>
                  <w:rStyle w:val="Hyperlink"/>
                  <w:sz w:val="24"/>
                  <w:szCs w:val="24"/>
                </w:rPr>
                <w:t>FSRH Letter of Competence in Subdermal Contraceptive Implant Techniques Insertion and Removal</w:t>
              </w:r>
            </w:hyperlink>
            <w:r w:rsidRPr="35283E35">
              <w:rPr>
                <w:sz w:val="24"/>
                <w:szCs w:val="24"/>
              </w:rPr>
              <w:t xml:space="preserve"> (LoC SDI-IR).  All practitioners offering IUC must hold the </w:t>
            </w:r>
            <w:hyperlink r:id="rId32">
              <w:r w:rsidRPr="35283E35">
                <w:rPr>
                  <w:rStyle w:val="Hyperlink"/>
                  <w:sz w:val="24"/>
                  <w:szCs w:val="24"/>
                </w:rPr>
                <w:t>FSRH Letter of Competence in Intrauterine Techniques</w:t>
              </w:r>
            </w:hyperlink>
            <w:r w:rsidRPr="35283E35">
              <w:rPr>
                <w:sz w:val="24"/>
                <w:szCs w:val="24"/>
              </w:rPr>
              <w:t xml:space="preserve"> (LoC IUT).  </w:t>
            </w:r>
          </w:p>
          <w:p w14:paraId="3E0577E8" w14:textId="4FEF0B34" w:rsidR="0051545E" w:rsidRDefault="000035DD" w:rsidP="004D6057">
            <w:pPr>
              <w:pStyle w:val="ListParagraph"/>
              <w:numPr>
                <w:ilvl w:val="0"/>
                <w:numId w:val="29"/>
              </w:numPr>
              <w:spacing w:after="0" w:line="240" w:lineRule="auto"/>
              <w:rPr>
                <w:sz w:val="24"/>
                <w:szCs w:val="24"/>
              </w:rPr>
            </w:pPr>
            <w:r w:rsidRPr="00E72371">
              <w:rPr>
                <w:sz w:val="24"/>
                <w:szCs w:val="24"/>
              </w:rPr>
              <w:t xml:space="preserve">FSRH LoCs require five yearly </w:t>
            </w:r>
            <w:hyperlink r:id="rId33" w:anchor="69451b5ce7c8">
              <w:r w:rsidRPr="00E72371">
                <w:rPr>
                  <w:rStyle w:val="Hyperlink"/>
                  <w:sz w:val="24"/>
                  <w:szCs w:val="24"/>
                </w:rPr>
                <w:t>recertification</w:t>
              </w:r>
            </w:hyperlink>
            <w:r w:rsidRPr="00E72371">
              <w:rPr>
                <w:sz w:val="24"/>
                <w:szCs w:val="24"/>
              </w:rPr>
              <w:t xml:space="preserve">. To maintain safe competencies practitioners should be fitting a minimum of 12 IUC fits (to include at least one copper IUD and one LNG-IUD) and/or 6 implant procedures (with at least one insertion and one removal) per year. </w:t>
            </w:r>
          </w:p>
          <w:p w14:paraId="73A9DBCB" w14:textId="77777777" w:rsidR="00E72371" w:rsidRPr="00E72371" w:rsidRDefault="00E72371" w:rsidP="004D6057">
            <w:pPr>
              <w:pStyle w:val="ListParagraph"/>
              <w:numPr>
                <w:ilvl w:val="0"/>
                <w:numId w:val="29"/>
              </w:numPr>
              <w:spacing w:after="0" w:line="240" w:lineRule="auto"/>
              <w:rPr>
                <w:sz w:val="24"/>
                <w:szCs w:val="24"/>
              </w:rPr>
            </w:pPr>
          </w:p>
          <w:p w14:paraId="2CDC7AAE" w14:textId="119316B8" w:rsidR="0051545E" w:rsidRDefault="4EE32A85" w:rsidP="5160D0DF">
            <w:pPr>
              <w:rPr>
                <w:rFonts w:asciiTheme="minorHAnsi" w:hAnsiTheme="minorHAnsi" w:cstheme="minorBidi"/>
                <w:lang w:eastAsia="en-GB"/>
              </w:rPr>
            </w:pPr>
            <w:r w:rsidRPr="5160D0DF">
              <w:rPr>
                <w:rFonts w:asciiTheme="minorHAnsi" w:hAnsiTheme="minorHAnsi" w:cstheme="minorBidi"/>
              </w:rPr>
              <w:t>For</w:t>
            </w:r>
            <w:r w:rsidRPr="5160D0DF">
              <w:rPr>
                <w:rFonts w:asciiTheme="minorHAnsi" w:hAnsiTheme="minorHAnsi" w:cstheme="minorBidi"/>
                <w:lang w:eastAsia="en-GB"/>
              </w:rPr>
              <w:t xml:space="preserve"> more information about training please see </w:t>
            </w:r>
            <w:hyperlink r:id="rId34">
              <w:r w:rsidRPr="5160D0DF">
                <w:rPr>
                  <w:rStyle w:val="Hyperlink"/>
                  <w:rFonts w:asciiTheme="minorHAnsi" w:eastAsiaTheme="majorEastAsia" w:hAnsiTheme="minorHAnsi" w:cstheme="minorBidi"/>
                  <w:lang w:eastAsia="en-GB"/>
                </w:rPr>
                <w:t>LARC guidance on TeamNet</w:t>
              </w:r>
            </w:hyperlink>
            <w:r w:rsidRPr="5160D0DF">
              <w:rPr>
                <w:rFonts w:asciiTheme="minorHAnsi" w:hAnsiTheme="minorHAnsi" w:cstheme="minorBidi"/>
                <w:lang w:eastAsia="en-GB"/>
              </w:rPr>
              <w:t>, and also contact:</w:t>
            </w:r>
            <w:r w:rsidR="69D5DAB5" w:rsidRPr="5160D0DF">
              <w:rPr>
                <w:rFonts w:asciiTheme="minorHAnsi" w:hAnsiTheme="minorHAnsi" w:cstheme="minorBidi"/>
                <w:lang w:eastAsia="en-GB"/>
              </w:rPr>
              <w:t xml:space="preserve"> Kate Blakley, Sexual Health Commissioning Manager at kate.blakley@n-somerset.gov.uk </w:t>
            </w:r>
          </w:p>
          <w:p w14:paraId="05E99AEE" w14:textId="12A3348C" w:rsidR="0051545E" w:rsidRPr="00072B22" w:rsidRDefault="0051545E" w:rsidP="35283E35">
            <w:pPr>
              <w:rPr>
                <w:rFonts w:asciiTheme="minorHAnsi" w:hAnsiTheme="minorHAnsi" w:cstheme="minorBidi"/>
                <w:szCs w:val="24"/>
              </w:rPr>
            </w:pPr>
          </w:p>
        </w:tc>
      </w:tr>
      <w:tr w:rsidR="00DD061A" w:rsidRPr="00072B22" w14:paraId="14CA7286"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jc w:val="center"/>
        </w:trPr>
        <w:tc>
          <w:tcPr>
            <w:tcW w:w="9245" w:type="dxa"/>
            <w:gridSpan w:val="3"/>
            <w:tcBorders>
              <w:top w:val="single" w:sz="4" w:space="0" w:color="999999"/>
              <w:left w:val="single" w:sz="4" w:space="0" w:color="999999"/>
              <w:bottom w:val="single" w:sz="4" w:space="0" w:color="999999"/>
              <w:right w:val="single" w:sz="4" w:space="0" w:color="999999"/>
            </w:tcBorders>
            <w:shd w:val="clear" w:color="auto" w:fill="767171" w:themeFill="background2" w:themeFillShade="80"/>
            <w:vAlign w:val="center"/>
          </w:tcPr>
          <w:p w14:paraId="29A407C2" w14:textId="4E48A3AD" w:rsidR="009A44D3" w:rsidRPr="00072B22" w:rsidRDefault="009A44D3" w:rsidP="35283E35">
            <w:pPr>
              <w:pStyle w:val="BodyText"/>
              <w:spacing w:after="0"/>
              <w:jc w:val="left"/>
              <w:rPr>
                <w:rFonts w:asciiTheme="minorHAnsi" w:eastAsia="MS ??" w:hAnsiTheme="minorHAnsi" w:cstheme="minorBidi"/>
                <w:color w:val="FFFFFF"/>
                <w:szCs w:val="24"/>
              </w:rPr>
            </w:pPr>
            <w:r w:rsidRPr="35283E35">
              <w:rPr>
                <w:rFonts w:asciiTheme="minorHAnsi" w:eastAsia="MS ??" w:hAnsiTheme="minorHAnsi" w:cstheme="minorBidi"/>
                <w:color w:val="FFC000" w:themeColor="accent4"/>
                <w:szCs w:val="24"/>
              </w:rPr>
              <w:lastRenderedPageBreak/>
              <w:t xml:space="preserve">4.  </w:t>
            </w:r>
            <w:r w:rsidR="000D6C67" w:rsidRPr="35283E35">
              <w:rPr>
                <w:rFonts w:asciiTheme="minorHAnsi" w:eastAsia="MS ??" w:hAnsiTheme="minorHAnsi" w:cstheme="minorBidi"/>
                <w:color w:val="FFC000" w:themeColor="accent4"/>
                <w:szCs w:val="24"/>
              </w:rPr>
              <w:t>Reporting and Finance</w:t>
            </w:r>
          </w:p>
        </w:tc>
      </w:tr>
      <w:tr w:rsidR="003C66C8" w:rsidRPr="00072B22" w14:paraId="607EC243"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jc w:val="center"/>
        </w:trPr>
        <w:tc>
          <w:tcPr>
            <w:tcW w:w="9245" w:type="dxa"/>
            <w:gridSpan w:val="3"/>
            <w:tcBorders>
              <w:top w:val="single" w:sz="4" w:space="0" w:color="999999"/>
              <w:left w:val="single" w:sz="4" w:space="0" w:color="999999"/>
              <w:bottom w:val="single" w:sz="4" w:space="0" w:color="999999"/>
              <w:right w:val="single" w:sz="4" w:space="0" w:color="999999"/>
            </w:tcBorders>
            <w:vAlign w:val="center"/>
          </w:tcPr>
          <w:p w14:paraId="35983860" w14:textId="77777777" w:rsidR="009A44D3" w:rsidRPr="00072B22" w:rsidRDefault="009A44D3" w:rsidP="35283E35">
            <w:pPr>
              <w:suppressAutoHyphens w:val="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lastRenderedPageBreak/>
              <w:t>4.1 Reporting</w:t>
            </w:r>
          </w:p>
          <w:p w14:paraId="2BB78F78" w14:textId="51B42790" w:rsidR="009A44D3" w:rsidRPr="00072B22" w:rsidRDefault="009A44D3" w:rsidP="35283E35">
            <w:pPr>
              <w:pStyle w:val="ListParagraph"/>
              <w:numPr>
                <w:ilvl w:val="0"/>
                <w:numId w:val="17"/>
              </w:numPr>
              <w:spacing w:after="0" w:line="240" w:lineRule="auto"/>
              <w:rPr>
                <w:sz w:val="24"/>
                <w:szCs w:val="24"/>
              </w:rPr>
            </w:pPr>
            <w:r w:rsidRPr="35283E35">
              <w:rPr>
                <w:sz w:val="24"/>
                <w:szCs w:val="24"/>
              </w:rPr>
              <w:t>For monitoring and payment purposes the Practice providing the service is required to complete and submit a quarterly data return which includes the number of insertions/removals for IUC’s and Implants by the 10</w:t>
            </w:r>
            <w:r w:rsidRPr="35283E35">
              <w:rPr>
                <w:sz w:val="24"/>
                <w:szCs w:val="24"/>
                <w:vertAlign w:val="superscript"/>
              </w:rPr>
              <w:t>th</w:t>
            </w:r>
            <w:r w:rsidRPr="35283E35">
              <w:rPr>
                <w:sz w:val="24"/>
                <w:szCs w:val="24"/>
              </w:rPr>
              <w:t xml:space="preserve"> of the month in each quarter. The expectation is that practices will use the </w:t>
            </w:r>
            <w:r w:rsidR="007F514A" w:rsidRPr="35283E35">
              <w:rPr>
                <w:sz w:val="24"/>
                <w:szCs w:val="24"/>
              </w:rPr>
              <w:t xml:space="preserve">Ardens </w:t>
            </w:r>
            <w:r w:rsidRPr="35283E35">
              <w:rPr>
                <w:sz w:val="24"/>
                <w:szCs w:val="24"/>
              </w:rPr>
              <w:t>BNSSG EMIS template which includes the codes and associated data reporting requirements.</w:t>
            </w:r>
          </w:p>
          <w:p w14:paraId="3C07CB35" w14:textId="2139B794" w:rsidR="009A44D3" w:rsidRPr="00072B22" w:rsidRDefault="009A44D3" w:rsidP="35283E35">
            <w:pPr>
              <w:pStyle w:val="ListParagraph"/>
              <w:numPr>
                <w:ilvl w:val="0"/>
                <w:numId w:val="17"/>
              </w:numPr>
              <w:spacing w:after="0" w:line="240" w:lineRule="auto"/>
              <w:rPr>
                <w:sz w:val="24"/>
                <w:szCs w:val="24"/>
              </w:rPr>
            </w:pPr>
            <w:r w:rsidRPr="35283E35">
              <w:rPr>
                <w:sz w:val="24"/>
                <w:szCs w:val="24"/>
              </w:rPr>
              <w:t>Any claims submitted after the deadline will not be paid until the following quarter.  Any claims submitted after the 31</w:t>
            </w:r>
            <w:r w:rsidR="00514355" w:rsidRPr="35283E35">
              <w:rPr>
                <w:sz w:val="24"/>
                <w:szCs w:val="24"/>
                <w:vertAlign w:val="superscript"/>
              </w:rPr>
              <w:t>st</w:t>
            </w:r>
            <w:r w:rsidR="00514355" w:rsidRPr="35283E35">
              <w:rPr>
                <w:sz w:val="24"/>
                <w:szCs w:val="24"/>
              </w:rPr>
              <w:t xml:space="preserve"> </w:t>
            </w:r>
            <w:r w:rsidRPr="35283E35">
              <w:rPr>
                <w:sz w:val="24"/>
                <w:szCs w:val="24"/>
              </w:rPr>
              <w:t>of July in respect of the previous financial year will not be accepted or paid.</w:t>
            </w:r>
          </w:p>
          <w:p w14:paraId="120B7737" w14:textId="77777777" w:rsidR="009A44D3" w:rsidRPr="00072B22" w:rsidRDefault="009A44D3" w:rsidP="35283E35">
            <w:pPr>
              <w:pStyle w:val="ListParagraph"/>
              <w:numPr>
                <w:ilvl w:val="0"/>
                <w:numId w:val="17"/>
              </w:numPr>
              <w:spacing w:after="0" w:line="240" w:lineRule="auto"/>
              <w:rPr>
                <w:sz w:val="24"/>
                <w:szCs w:val="24"/>
              </w:rPr>
            </w:pPr>
            <w:r w:rsidRPr="35283E35">
              <w:rPr>
                <w:sz w:val="24"/>
                <w:szCs w:val="24"/>
              </w:rPr>
              <w:t>A register must be kept of all patients fitted with an IUCD and the practitioner who carried out the procedure.</w:t>
            </w:r>
          </w:p>
          <w:p w14:paraId="17305C5A" w14:textId="77777777" w:rsidR="00327DF7" w:rsidRPr="00072B22" w:rsidRDefault="00327DF7" w:rsidP="35283E35">
            <w:pPr>
              <w:suppressAutoHyphens w:val="0"/>
              <w:jc w:val="left"/>
              <w:rPr>
                <w:rFonts w:asciiTheme="minorHAnsi" w:eastAsiaTheme="minorEastAsia" w:hAnsiTheme="minorHAnsi" w:cstheme="minorBidi"/>
                <w:b/>
                <w:bCs/>
                <w:color w:val="339966"/>
                <w:szCs w:val="24"/>
              </w:rPr>
            </w:pPr>
          </w:p>
          <w:p w14:paraId="5CE92CFB" w14:textId="4311A694" w:rsidR="009A44D3" w:rsidRPr="00072B22" w:rsidRDefault="009A44D3" w:rsidP="35283E35">
            <w:pPr>
              <w:suppressAutoHyphens w:val="0"/>
              <w:jc w:val="left"/>
              <w:rPr>
                <w:rFonts w:asciiTheme="minorHAnsi" w:eastAsiaTheme="minorEastAsia" w:hAnsiTheme="minorHAnsi" w:cstheme="minorBidi"/>
                <w:b/>
                <w:bCs/>
                <w:color w:val="339966"/>
                <w:szCs w:val="24"/>
              </w:rPr>
            </w:pPr>
            <w:r w:rsidRPr="35283E35">
              <w:rPr>
                <w:rFonts w:asciiTheme="minorHAnsi" w:eastAsiaTheme="minorEastAsia" w:hAnsiTheme="minorHAnsi" w:cstheme="minorBidi"/>
                <w:b/>
                <w:bCs/>
                <w:color w:val="339966"/>
                <w:szCs w:val="24"/>
              </w:rPr>
              <w:t xml:space="preserve">4.2 Financial details </w:t>
            </w:r>
          </w:p>
          <w:p w14:paraId="786F7544" w14:textId="77777777" w:rsidR="009A44D3" w:rsidRPr="00072B22" w:rsidRDefault="009A44D3" w:rsidP="35283E35">
            <w:pPr>
              <w:suppressAutoHyphens w:val="0"/>
              <w:jc w:val="left"/>
              <w:rPr>
                <w:rFonts w:asciiTheme="minorHAnsi" w:eastAsiaTheme="minorEastAsia" w:hAnsiTheme="minorHAnsi" w:cstheme="minorBidi"/>
                <w:szCs w:val="24"/>
              </w:rPr>
            </w:pPr>
            <w:r w:rsidRPr="35283E35">
              <w:rPr>
                <w:rFonts w:asciiTheme="minorHAnsi" w:eastAsiaTheme="minorEastAsia" w:hAnsiTheme="minorHAnsi" w:cstheme="minorBidi"/>
                <w:szCs w:val="24"/>
              </w:rPr>
              <w:t>Payment for the services are as follows:</w:t>
            </w:r>
          </w:p>
          <w:p w14:paraId="726F4202" w14:textId="77777777" w:rsidR="00E22C0F" w:rsidRPr="00072B22" w:rsidRDefault="00E22C0F" w:rsidP="35283E35">
            <w:pPr>
              <w:suppressAutoHyphens w:val="0"/>
              <w:jc w:val="left"/>
              <w:rPr>
                <w:rFonts w:asciiTheme="minorHAnsi" w:eastAsiaTheme="minorEastAsia" w:hAnsiTheme="minorHAnsi" w:cstheme="minorBidi"/>
                <w:szCs w:val="24"/>
              </w:rPr>
            </w:pPr>
          </w:p>
          <w:tbl>
            <w:tblPr>
              <w:tblStyle w:val="TableGrid"/>
              <w:tblW w:w="0" w:type="auto"/>
              <w:tblLook w:val="04A0" w:firstRow="1" w:lastRow="0" w:firstColumn="1" w:lastColumn="0" w:noHBand="0" w:noVBand="1"/>
            </w:tblPr>
            <w:tblGrid>
              <w:gridCol w:w="6973"/>
              <w:gridCol w:w="1417"/>
            </w:tblGrid>
            <w:tr w:rsidR="00E22C0F" w:rsidRPr="00072B22" w14:paraId="6B8503A9" w14:textId="77777777" w:rsidTr="5160D0DF">
              <w:tc>
                <w:tcPr>
                  <w:tcW w:w="6973" w:type="dxa"/>
                </w:tcPr>
                <w:p w14:paraId="29EE0484" w14:textId="77777777" w:rsidR="00E22C0F" w:rsidRPr="00072B22" w:rsidRDefault="00E22C0F" w:rsidP="35283E35">
                  <w:pPr>
                    <w:pStyle w:val="BodyText"/>
                    <w:spacing w:after="0"/>
                    <w:jc w:val="left"/>
                    <w:rPr>
                      <w:rFonts w:asciiTheme="minorHAnsi" w:eastAsia="MS ??" w:hAnsiTheme="minorHAnsi" w:cstheme="minorBidi"/>
                      <w:b/>
                      <w:bCs/>
                      <w:szCs w:val="24"/>
                    </w:rPr>
                  </w:pPr>
                  <w:r w:rsidRPr="35283E35">
                    <w:rPr>
                      <w:rFonts w:asciiTheme="minorHAnsi" w:eastAsiaTheme="minorEastAsia" w:hAnsiTheme="minorHAnsi" w:cstheme="minorBidi"/>
                      <w:b/>
                      <w:bCs/>
                      <w:color w:val="000000" w:themeColor="text1"/>
                      <w:szCs w:val="24"/>
                    </w:rPr>
                    <w:t>Intrauterine contraception (IUC)</w:t>
                  </w:r>
                </w:p>
              </w:tc>
              <w:tc>
                <w:tcPr>
                  <w:tcW w:w="1417" w:type="dxa"/>
                </w:tcPr>
                <w:p w14:paraId="2B300037" w14:textId="77777777" w:rsidR="00E22C0F" w:rsidRPr="00072B22" w:rsidRDefault="00E22C0F" w:rsidP="35283E35">
                  <w:pPr>
                    <w:pStyle w:val="BodyText"/>
                    <w:spacing w:after="0"/>
                    <w:jc w:val="left"/>
                    <w:rPr>
                      <w:rFonts w:asciiTheme="minorHAnsi" w:eastAsia="MS ??" w:hAnsiTheme="minorHAnsi" w:cstheme="minorBidi"/>
                      <w:b/>
                      <w:bCs/>
                      <w:szCs w:val="24"/>
                    </w:rPr>
                  </w:pPr>
                </w:p>
              </w:tc>
            </w:tr>
            <w:tr w:rsidR="00E22C0F" w:rsidRPr="00072B22" w14:paraId="6D4B5C07" w14:textId="77777777" w:rsidTr="5160D0DF">
              <w:tc>
                <w:tcPr>
                  <w:tcW w:w="6973" w:type="dxa"/>
                </w:tcPr>
                <w:p w14:paraId="68EA67BF" w14:textId="77777777" w:rsidR="00E22C0F" w:rsidRPr="00072B22" w:rsidRDefault="00E22C0F" w:rsidP="35283E35">
                  <w:pPr>
                    <w:pStyle w:val="BodyText"/>
                    <w:spacing w:after="0"/>
                    <w:jc w:val="left"/>
                    <w:rPr>
                      <w:rFonts w:asciiTheme="minorHAnsi" w:eastAsia="MS ??" w:hAnsiTheme="minorHAnsi" w:cstheme="minorBidi"/>
                      <w:b/>
                      <w:bCs/>
                      <w:szCs w:val="24"/>
                    </w:rPr>
                  </w:pPr>
                  <w:r w:rsidRPr="35283E35">
                    <w:rPr>
                      <w:rFonts w:asciiTheme="minorHAnsi" w:hAnsiTheme="minorHAnsi" w:cstheme="minorBidi"/>
                      <w:szCs w:val="24"/>
                      <w:lang w:eastAsia="en-US"/>
                    </w:rPr>
                    <w:t>IUC insertion</w:t>
                  </w:r>
                </w:p>
              </w:tc>
              <w:tc>
                <w:tcPr>
                  <w:tcW w:w="1417" w:type="dxa"/>
                </w:tcPr>
                <w:p w14:paraId="039B063F"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£104.00</w:t>
                  </w:r>
                </w:p>
              </w:tc>
            </w:tr>
            <w:tr w:rsidR="00E22C0F" w:rsidRPr="00072B22" w14:paraId="391CC985" w14:textId="77777777" w:rsidTr="5160D0DF">
              <w:tc>
                <w:tcPr>
                  <w:tcW w:w="6973" w:type="dxa"/>
                </w:tcPr>
                <w:p w14:paraId="7F165AC5" w14:textId="77777777" w:rsidR="00E22C0F" w:rsidRPr="00072B22" w:rsidRDefault="00E22C0F" w:rsidP="35283E35">
                  <w:pPr>
                    <w:pStyle w:val="BodyText"/>
                    <w:spacing w:after="0"/>
                    <w:jc w:val="left"/>
                    <w:rPr>
                      <w:rFonts w:asciiTheme="minorHAnsi" w:eastAsia="MS ??" w:hAnsiTheme="minorHAnsi" w:cstheme="minorBidi"/>
                      <w:b/>
                      <w:bCs/>
                      <w:szCs w:val="24"/>
                    </w:rPr>
                  </w:pPr>
                  <w:r w:rsidRPr="35283E35">
                    <w:rPr>
                      <w:rFonts w:asciiTheme="minorHAnsi" w:hAnsiTheme="minorHAnsi" w:cstheme="minorBidi"/>
                      <w:color w:val="000000" w:themeColor="text1"/>
                      <w:szCs w:val="24"/>
                    </w:rPr>
                    <w:t>Failed IUC insertion</w:t>
                  </w:r>
                </w:p>
              </w:tc>
              <w:tc>
                <w:tcPr>
                  <w:tcW w:w="1417" w:type="dxa"/>
                </w:tcPr>
                <w:p w14:paraId="17A53CDE"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£104.00</w:t>
                  </w:r>
                </w:p>
              </w:tc>
            </w:tr>
            <w:tr w:rsidR="00E22C0F" w:rsidRPr="00072B22" w14:paraId="00CC9ED4" w14:textId="77777777" w:rsidTr="5160D0DF">
              <w:tc>
                <w:tcPr>
                  <w:tcW w:w="6973" w:type="dxa"/>
                </w:tcPr>
                <w:p w14:paraId="206BC7FD" w14:textId="77777777" w:rsidR="00E22C0F" w:rsidRPr="00072B22" w:rsidRDefault="00E22C0F" w:rsidP="35283E35">
                  <w:pPr>
                    <w:suppressAutoHyphens w:val="0"/>
                    <w:jc w:val="left"/>
                    <w:rPr>
                      <w:rFonts w:asciiTheme="minorHAnsi" w:eastAsiaTheme="minorEastAsia" w:hAnsiTheme="minorHAnsi" w:cstheme="minorBidi"/>
                      <w:b/>
                      <w:bCs/>
                      <w:color w:val="000000" w:themeColor="text1"/>
                      <w:szCs w:val="24"/>
                    </w:rPr>
                  </w:pPr>
                  <w:r w:rsidRPr="35283E35">
                    <w:rPr>
                      <w:rFonts w:asciiTheme="minorHAnsi" w:eastAsiaTheme="minorEastAsia" w:hAnsiTheme="minorHAnsi" w:cstheme="minorBidi"/>
                      <w:b/>
                      <w:bCs/>
                      <w:color w:val="000000" w:themeColor="text1"/>
                      <w:szCs w:val="24"/>
                    </w:rPr>
                    <w:t>Sub-dermal implant (SDI)</w:t>
                  </w:r>
                </w:p>
              </w:tc>
              <w:tc>
                <w:tcPr>
                  <w:tcW w:w="1417" w:type="dxa"/>
                </w:tcPr>
                <w:p w14:paraId="61E3F220" w14:textId="77777777" w:rsidR="00E22C0F" w:rsidRPr="00072B22" w:rsidRDefault="00E22C0F" w:rsidP="35283E35">
                  <w:pPr>
                    <w:pStyle w:val="BodyText"/>
                    <w:spacing w:after="0"/>
                    <w:jc w:val="right"/>
                    <w:rPr>
                      <w:rFonts w:asciiTheme="minorHAnsi" w:eastAsia="MS ??" w:hAnsiTheme="minorHAnsi" w:cstheme="minorBidi"/>
                      <w:szCs w:val="24"/>
                    </w:rPr>
                  </w:pPr>
                </w:p>
              </w:tc>
            </w:tr>
            <w:tr w:rsidR="00E22C0F" w:rsidRPr="00072B22" w14:paraId="217245F5" w14:textId="77777777" w:rsidTr="5160D0DF">
              <w:tc>
                <w:tcPr>
                  <w:tcW w:w="6973" w:type="dxa"/>
                </w:tcPr>
                <w:p w14:paraId="44F5DF64" w14:textId="77777777" w:rsidR="00E22C0F" w:rsidRPr="00072B22" w:rsidRDefault="00E22C0F" w:rsidP="35283E35">
                  <w:pPr>
                    <w:pStyle w:val="BodyText"/>
                    <w:spacing w:after="0"/>
                    <w:jc w:val="left"/>
                    <w:rPr>
                      <w:rFonts w:asciiTheme="minorHAnsi" w:eastAsia="MS ??" w:hAnsiTheme="minorHAnsi" w:cstheme="minorBidi"/>
                      <w:b/>
                      <w:bCs/>
                      <w:szCs w:val="24"/>
                    </w:rPr>
                  </w:pPr>
                  <w:r w:rsidRPr="35283E35">
                    <w:rPr>
                      <w:rFonts w:asciiTheme="minorHAnsi" w:hAnsiTheme="minorHAnsi" w:cstheme="minorBidi"/>
                      <w:color w:val="000000" w:themeColor="text1"/>
                      <w:szCs w:val="24"/>
                      <w:lang w:eastAsia="en-US"/>
                    </w:rPr>
                    <w:t xml:space="preserve">Implant insertions  </w:t>
                  </w:r>
                </w:p>
              </w:tc>
              <w:tc>
                <w:tcPr>
                  <w:tcW w:w="1417" w:type="dxa"/>
                </w:tcPr>
                <w:p w14:paraId="2787D7E5"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£56.00</w:t>
                  </w:r>
                </w:p>
              </w:tc>
            </w:tr>
            <w:tr w:rsidR="00E22C0F" w:rsidRPr="00072B22" w14:paraId="596A898D" w14:textId="77777777" w:rsidTr="5160D0DF">
              <w:tc>
                <w:tcPr>
                  <w:tcW w:w="6973" w:type="dxa"/>
                </w:tcPr>
                <w:p w14:paraId="37F292B5" w14:textId="77777777" w:rsidR="00E22C0F" w:rsidRPr="00072B22" w:rsidRDefault="00E22C0F" w:rsidP="35283E35">
                  <w:pPr>
                    <w:pStyle w:val="BodyText"/>
                    <w:spacing w:after="0"/>
                    <w:jc w:val="left"/>
                    <w:rPr>
                      <w:rFonts w:asciiTheme="minorHAnsi" w:hAnsiTheme="minorHAnsi" w:cstheme="minorBidi"/>
                      <w:color w:val="000000" w:themeColor="text1"/>
                      <w:szCs w:val="24"/>
                    </w:rPr>
                  </w:pPr>
                  <w:r w:rsidRPr="35283E35">
                    <w:rPr>
                      <w:rFonts w:asciiTheme="minorHAnsi" w:hAnsiTheme="minorHAnsi" w:cstheme="minorBidi"/>
                      <w:color w:val="000000" w:themeColor="text1"/>
                      <w:szCs w:val="24"/>
                    </w:rPr>
                    <w:t xml:space="preserve">Failed </w:t>
                  </w:r>
                  <w:r w:rsidRPr="35283E35">
                    <w:rPr>
                      <w:rFonts w:asciiTheme="minorHAnsi" w:hAnsiTheme="minorHAnsi" w:cstheme="minorBidi"/>
                      <w:color w:val="000000" w:themeColor="text1"/>
                      <w:szCs w:val="24"/>
                      <w:lang w:eastAsia="en-US"/>
                    </w:rPr>
                    <w:t xml:space="preserve">Implant insertions  </w:t>
                  </w:r>
                </w:p>
              </w:tc>
              <w:tc>
                <w:tcPr>
                  <w:tcW w:w="1417" w:type="dxa"/>
                </w:tcPr>
                <w:p w14:paraId="6FF30743"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£56.00</w:t>
                  </w:r>
                </w:p>
              </w:tc>
            </w:tr>
            <w:tr w:rsidR="00E22C0F" w:rsidRPr="00072B22" w14:paraId="7E3C08C2" w14:textId="77777777" w:rsidTr="5160D0DF">
              <w:tc>
                <w:tcPr>
                  <w:tcW w:w="6973" w:type="dxa"/>
                </w:tcPr>
                <w:p w14:paraId="672BDBEF" w14:textId="77777777" w:rsidR="00E22C0F" w:rsidRPr="00072B22" w:rsidRDefault="00E22C0F" w:rsidP="35283E35">
                  <w:pPr>
                    <w:pStyle w:val="BodyText"/>
                    <w:spacing w:after="0"/>
                    <w:jc w:val="left"/>
                    <w:rPr>
                      <w:rFonts w:asciiTheme="minorHAnsi" w:hAnsiTheme="minorHAnsi" w:cstheme="minorBidi"/>
                      <w:color w:val="000000" w:themeColor="text1"/>
                      <w:szCs w:val="24"/>
                    </w:rPr>
                  </w:pPr>
                  <w:r w:rsidRPr="35283E35">
                    <w:rPr>
                      <w:rFonts w:asciiTheme="minorHAnsi" w:hAnsiTheme="minorHAnsi" w:cstheme="minorBidi"/>
                      <w:color w:val="000000" w:themeColor="text1"/>
                      <w:szCs w:val="24"/>
                    </w:rPr>
                    <w:t>Implant removals</w:t>
                  </w:r>
                </w:p>
              </w:tc>
              <w:tc>
                <w:tcPr>
                  <w:tcW w:w="1417" w:type="dxa"/>
                </w:tcPr>
                <w:p w14:paraId="18A14761"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£60.00</w:t>
                  </w:r>
                </w:p>
              </w:tc>
            </w:tr>
            <w:tr w:rsidR="00E22C0F" w:rsidRPr="00072B22" w14:paraId="5161BD03" w14:textId="77777777" w:rsidTr="5160D0DF">
              <w:tc>
                <w:tcPr>
                  <w:tcW w:w="6973" w:type="dxa"/>
                </w:tcPr>
                <w:p w14:paraId="60290757" w14:textId="77777777" w:rsidR="00E22C0F" w:rsidRPr="00072B22" w:rsidRDefault="00E22C0F" w:rsidP="35283E35">
                  <w:pPr>
                    <w:pStyle w:val="BodyText"/>
                    <w:spacing w:after="0"/>
                    <w:jc w:val="left"/>
                    <w:rPr>
                      <w:rFonts w:asciiTheme="minorHAnsi" w:hAnsiTheme="minorHAnsi" w:cstheme="minorBidi"/>
                      <w:color w:val="000000" w:themeColor="text1"/>
                      <w:szCs w:val="24"/>
                    </w:rPr>
                  </w:pPr>
                  <w:r w:rsidRPr="35283E35">
                    <w:rPr>
                      <w:rFonts w:asciiTheme="minorHAnsi" w:hAnsiTheme="minorHAnsi" w:cstheme="minorBidi"/>
                      <w:color w:val="000000" w:themeColor="text1"/>
                      <w:szCs w:val="24"/>
                    </w:rPr>
                    <w:t>Failed implant removals</w:t>
                  </w:r>
                </w:p>
              </w:tc>
              <w:tc>
                <w:tcPr>
                  <w:tcW w:w="1417" w:type="dxa"/>
                </w:tcPr>
                <w:p w14:paraId="210B8107" w14:textId="77777777" w:rsidR="00E22C0F" w:rsidRPr="00072B22" w:rsidRDefault="00E22C0F" w:rsidP="35283E35">
                  <w:pPr>
                    <w:pStyle w:val="BodyText"/>
                    <w:spacing w:after="0"/>
                    <w:jc w:val="right"/>
                    <w:rPr>
                      <w:rFonts w:asciiTheme="minorHAnsi" w:eastAsia="MS ??" w:hAnsiTheme="minorHAnsi" w:cstheme="minorBidi"/>
                      <w:szCs w:val="24"/>
                    </w:rPr>
                  </w:pPr>
                  <w:r w:rsidRPr="35283E35">
                    <w:rPr>
                      <w:rFonts w:asciiTheme="minorHAnsi" w:eastAsia="MS ??" w:hAnsiTheme="minorHAnsi" w:cstheme="minorBidi"/>
                      <w:szCs w:val="24"/>
                    </w:rPr>
                    <w:t>£60.00</w:t>
                  </w:r>
                </w:p>
              </w:tc>
            </w:tr>
          </w:tbl>
          <w:p w14:paraId="4364D491" w14:textId="685FB634" w:rsidR="006E69CF" w:rsidRPr="00072B22" w:rsidRDefault="006E69CF" w:rsidP="5160D0DF">
            <w:pPr>
              <w:rPr>
                <w:rFonts w:asciiTheme="minorHAnsi" w:eastAsiaTheme="minorEastAsia" w:hAnsiTheme="minorHAnsi" w:cstheme="minorBidi"/>
              </w:rPr>
            </w:pPr>
          </w:p>
          <w:p w14:paraId="52C8129C" w14:textId="32C52593" w:rsidR="006E69CF" w:rsidRPr="00072B22" w:rsidRDefault="006E69CF" w:rsidP="5160D0DF">
            <w:pPr>
              <w:rPr>
                <w:rFonts w:asciiTheme="minorHAnsi" w:eastAsiaTheme="minorEastAsia" w:hAnsiTheme="minorHAnsi" w:cstheme="minorBidi"/>
              </w:rPr>
            </w:pPr>
          </w:p>
        </w:tc>
      </w:tr>
      <w:tr w:rsidR="0094029D" w:rsidRPr="00072B22" w14:paraId="30EC7780" w14:textId="77777777" w:rsidTr="35E927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 w:type="dxa"/>
          <w:trHeight w:val="674"/>
          <w:jc w:val="center"/>
        </w:trPr>
        <w:tc>
          <w:tcPr>
            <w:tcW w:w="9238" w:type="dxa"/>
            <w:gridSpan w:val="2"/>
            <w:tcBorders>
              <w:top w:val="single" w:sz="2" w:space="0" w:color="999999"/>
              <w:left w:val="single" w:sz="2" w:space="0" w:color="999999"/>
              <w:bottom w:val="single" w:sz="2" w:space="0" w:color="999999"/>
              <w:right w:val="single" w:sz="2" w:space="0" w:color="999999"/>
            </w:tcBorders>
            <w:shd w:val="clear" w:color="auto" w:fill="666666"/>
          </w:tcPr>
          <w:p w14:paraId="6B38FBDC" w14:textId="323087A2" w:rsidR="5160D0DF" w:rsidRDefault="5160D0DF" w:rsidP="5160D0DF">
            <w:pPr>
              <w:widowControl w:val="0"/>
              <w:jc w:val="left"/>
              <w:rPr>
                <w:rFonts w:asciiTheme="minorHAnsi" w:hAnsiTheme="minorHAnsi" w:cstheme="minorBidi"/>
                <w:color w:val="FFC000" w:themeColor="accent4"/>
                <w:lang w:val="en"/>
              </w:rPr>
            </w:pPr>
          </w:p>
          <w:p w14:paraId="736C1923" w14:textId="458316B8" w:rsidR="006E69CF" w:rsidRPr="00072B22" w:rsidRDefault="6B6BE836" w:rsidP="5160D0DF">
            <w:pPr>
              <w:widowControl w:val="0"/>
              <w:autoSpaceDE w:val="0"/>
              <w:autoSpaceDN w:val="0"/>
              <w:adjustRightInd w:val="0"/>
              <w:jc w:val="left"/>
              <w:rPr>
                <w:rFonts w:asciiTheme="minorHAnsi" w:hAnsiTheme="minorHAnsi" w:cstheme="minorBidi"/>
                <w:color w:val="FFC000" w:themeColor="accent4"/>
                <w:lang w:val="en"/>
              </w:rPr>
            </w:pPr>
            <w:r w:rsidRPr="5160D0DF">
              <w:rPr>
                <w:rFonts w:asciiTheme="minorHAnsi" w:hAnsiTheme="minorHAnsi" w:cstheme="minorBidi"/>
                <w:color w:val="FFC000" w:themeColor="accent4"/>
                <w:lang w:val="en"/>
              </w:rPr>
              <w:t xml:space="preserve">5. Key Performance Indicators </w:t>
            </w:r>
          </w:p>
          <w:p w14:paraId="551C1207" w14:textId="6ADFA987" w:rsidR="006E69CF" w:rsidRPr="00072B22" w:rsidRDefault="006E69CF" w:rsidP="5160D0DF">
            <w:pPr>
              <w:widowControl w:val="0"/>
              <w:autoSpaceDE w:val="0"/>
              <w:autoSpaceDN w:val="0"/>
              <w:adjustRightInd w:val="0"/>
              <w:jc w:val="left"/>
              <w:rPr>
                <w:rFonts w:asciiTheme="minorHAnsi" w:hAnsiTheme="minorHAnsi" w:cstheme="minorBidi"/>
                <w:color w:val="FFC000" w:themeColor="accent4"/>
                <w:lang w:val="en"/>
              </w:rPr>
            </w:pPr>
          </w:p>
        </w:tc>
      </w:tr>
      <w:tr w:rsidR="008C2DBE" w:rsidRPr="00072B22" w14:paraId="01773C81" w14:textId="77777777" w:rsidTr="35E9272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45" w:type="dxa"/>
            <w:gridSpan w:val="3"/>
            <w:tcBorders>
              <w:top w:val="single" w:sz="4" w:space="0" w:color="999999"/>
              <w:left w:val="single" w:sz="4" w:space="0" w:color="999999"/>
              <w:bottom w:val="single" w:sz="4" w:space="0" w:color="999999"/>
              <w:right w:val="single" w:sz="4" w:space="0" w:color="999999"/>
            </w:tcBorders>
          </w:tcPr>
          <w:tbl>
            <w:tblPr>
              <w:tblpPr w:leftFromText="180" w:rightFromText="180" w:tblpY="376"/>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2822"/>
              <w:gridCol w:w="1309"/>
              <w:gridCol w:w="2575"/>
            </w:tblGrid>
            <w:tr w:rsidR="009A44D3" w:rsidRPr="00072B22" w14:paraId="115F88EE" w14:textId="77777777" w:rsidTr="00782DCE">
              <w:tc>
                <w:tcPr>
                  <w:tcW w:w="2263" w:type="dxa"/>
                  <w:shd w:val="clear" w:color="auto" w:fill="BFBFBF" w:themeFill="background1" w:themeFillShade="BF"/>
                  <w:vAlign w:val="center"/>
                </w:tcPr>
                <w:p w14:paraId="79EF6B23" w14:textId="35340578" w:rsidR="009A44D3" w:rsidRPr="00072B22" w:rsidRDefault="006615A1" w:rsidP="35283E35">
                  <w:pPr>
                    <w:jc w:val="left"/>
                    <w:rPr>
                      <w:rFonts w:asciiTheme="minorHAnsi" w:hAnsiTheme="minorHAnsi" w:cstheme="minorBidi"/>
                      <w:b/>
                      <w:bCs/>
                      <w:szCs w:val="24"/>
                    </w:rPr>
                  </w:pPr>
                  <w:r>
                    <w:rPr>
                      <w:rFonts w:asciiTheme="minorHAnsi" w:hAnsiTheme="minorHAnsi" w:cstheme="minorBidi"/>
                      <w:b/>
                      <w:bCs/>
                      <w:szCs w:val="24"/>
                    </w:rPr>
                    <w:t xml:space="preserve">Activity </w:t>
                  </w:r>
                </w:p>
              </w:tc>
              <w:tc>
                <w:tcPr>
                  <w:tcW w:w="2835" w:type="dxa"/>
                  <w:shd w:val="clear" w:color="auto" w:fill="BFBFBF" w:themeFill="background1" w:themeFillShade="BF"/>
                  <w:vAlign w:val="center"/>
                </w:tcPr>
                <w:p w14:paraId="70EE2602" w14:textId="644A2068" w:rsidR="009A44D3" w:rsidRPr="00072B22" w:rsidRDefault="006615A1" w:rsidP="35283E35">
                  <w:pPr>
                    <w:jc w:val="left"/>
                    <w:rPr>
                      <w:rFonts w:asciiTheme="minorHAnsi" w:hAnsiTheme="minorHAnsi" w:cstheme="minorBidi"/>
                      <w:b/>
                      <w:bCs/>
                      <w:szCs w:val="24"/>
                    </w:rPr>
                  </w:pPr>
                  <w:r>
                    <w:rPr>
                      <w:rFonts w:asciiTheme="minorHAnsi" w:hAnsiTheme="minorHAnsi" w:cstheme="minorBidi"/>
                      <w:b/>
                      <w:bCs/>
                      <w:szCs w:val="24"/>
                    </w:rPr>
                    <w:t xml:space="preserve">Quality </w:t>
                  </w:r>
                </w:p>
              </w:tc>
              <w:tc>
                <w:tcPr>
                  <w:tcW w:w="1276" w:type="dxa"/>
                  <w:shd w:val="clear" w:color="auto" w:fill="BFBFBF" w:themeFill="background1" w:themeFillShade="BF"/>
                  <w:vAlign w:val="center"/>
                </w:tcPr>
                <w:p w14:paraId="7B350426" w14:textId="14686A5F" w:rsidR="009A44D3" w:rsidRPr="00072B22" w:rsidRDefault="006615A1" w:rsidP="35283E35">
                  <w:pPr>
                    <w:jc w:val="left"/>
                    <w:rPr>
                      <w:rFonts w:asciiTheme="minorHAnsi" w:hAnsiTheme="minorHAnsi" w:cstheme="minorBidi"/>
                      <w:b/>
                      <w:bCs/>
                      <w:szCs w:val="24"/>
                    </w:rPr>
                  </w:pPr>
                  <w:r>
                    <w:rPr>
                      <w:rFonts w:asciiTheme="minorHAnsi" w:hAnsiTheme="minorHAnsi" w:cstheme="minorBidi"/>
                      <w:b/>
                      <w:bCs/>
                      <w:szCs w:val="24"/>
                    </w:rPr>
                    <w:t>Experience</w:t>
                  </w:r>
                </w:p>
              </w:tc>
              <w:tc>
                <w:tcPr>
                  <w:tcW w:w="2585" w:type="dxa"/>
                  <w:shd w:val="clear" w:color="auto" w:fill="BFBFBF" w:themeFill="background1" w:themeFillShade="BF"/>
                  <w:vAlign w:val="center"/>
                </w:tcPr>
                <w:p w14:paraId="3BED1586" w14:textId="2E38CD60" w:rsidR="009A44D3" w:rsidRPr="00072B22" w:rsidRDefault="006615A1" w:rsidP="35283E35">
                  <w:pPr>
                    <w:jc w:val="left"/>
                    <w:rPr>
                      <w:rFonts w:asciiTheme="minorHAnsi" w:hAnsiTheme="minorHAnsi" w:cstheme="minorBidi"/>
                      <w:b/>
                      <w:bCs/>
                      <w:szCs w:val="24"/>
                    </w:rPr>
                  </w:pPr>
                  <w:r w:rsidRPr="35283E35">
                    <w:rPr>
                      <w:rFonts w:asciiTheme="minorHAnsi" w:hAnsiTheme="minorHAnsi" w:cstheme="minorBidi"/>
                      <w:b/>
                      <w:bCs/>
                      <w:szCs w:val="24"/>
                    </w:rPr>
                    <w:t>Method of Measurement</w:t>
                  </w:r>
                </w:p>
              </w:tc>
            </w:tr>
            <w:tr w:rsidR="009A44D3" w:rsidRPr="00072B22" w14:paraId="1961C5B6" w14:textId="77777777" w:rsidTr="00782DCE">
              <w:tc>
                <w:tcPr>
                  <w:tcW w:w="2263" w:type="dxa"/>
                </w:tcPr>
                <w:p w14:paraId="062D8D16" w14:textId="0BE5240A" w:rsidR="009A44D3" w:rsidRPr="00072B22" w:rsidRDefault="00782DCE" w:rsidP="35283E35">
                  <w:pPr>
                    <w:jc w:val="left"/>
                    <w:rPr>
                      <w:rFonts w:asciiTheme="minorHAnsi" w:hAnsiTheme="minorHAnsi" w:cstheme="minorBidi"/>
                      <w:szCs w:val="24"/>
                    </w:rPr>
                  </w:pPr>
                  <w:r w:rsidRPr="00782DCE">
                    <w:rPr>
                      <w:rFonts w:asciiTheme="minorHAnsi" w:hAnsiTheme="minorHAnsi" w:cstheme="minorBidi"/>
                      <w:szCs w:val="24"/>
                    </w:rPr>
                    <w:t>Number of LARC fittings completed per period (Q / A)</w:t>
                  </w:r>
                </w:p>
                <w:p w14:paraId="1C8A40DD" w14:textId="77777777" w:rsidR="009A44D3" w:rsidRPr="00072B22" w:rsidRDefault="009A44D3" w:rsidP="35283E35">
                  <w:pPr>
                    <w:jc w:val="left"/>
                    <w:rPr>
                      <w:rFonts w:asciiTheme="minorHAnsi" w:hAnsiTheme="minorHAnsi" w:cstheme="minorBidi"/>
                      <w:szCs w:val="24"/>
                    </w:rPr>
                  </w:pPr>
                </w:p>
              </w:tc>
              <w:tc>
                <w:tcPr>
                  <w:tcW w:w="2835" w:type="dxa"/>
                </w:tcPr>
                <w:p w14:paraId="7EE716C7" w14:textId="01CF4223" w:rsidR="009A44D3" w:rsidRPr="00072B22" w:rsidRDefault="00782DCE" w:rsidP="35283E35">
                  <w:pPr>
                    <w:jc w:val="left"/>
                    <w:rPr>
                      <w:rFonts w:asciiTheme="minorHAnsi" w:hAnsiTheme="minorHAnsi" w:cstheme="minorBidi"/>
                      <w:szCs w:val="24"/>
                    </w:rPr>
                  </w:pPr>
                  <w:r w:rsidRPr="00782DCE">
                    <w:rPr>
                      <w:rFonts w:asciiTheme="minorHAnsi" w:hAnsiTheme="minorHAnsi" w:cstheme="minorBidi"/>
                      <w:szCs w:val="24"/>
                    </w:rPr>
                    <w:t>% of patients receiving full contraceptive counselling prior to LARC fitting</w:t>
                  </w:r>
                </w:p>
              </w:tc>
              <w:tc>
                <w:tcPr>
                  <w:tcW w:w="1276" w:type="dxa"/>
                </w:tcPr>
                <w:p w14:paraId="7B45C9DD" w14:textId="39267299" w:rsidR="009A44D3" w:rsidRPr="00072B22" w:rsidRDefault="006615A1" w:rsidP="35283E35">
                  <w:pPr>
                    <w:jc w:val="left"/>
                    <w:rPr>
                      <w:rFonts w:asciiTheme="minorHAnsi" w:hAnsiTheme="minorHAnsi" w:cstheme="minorBidi"/>
                      <w:szCs w:val="24"/>
                    </w:rPr>
                  </w:pPr>
                  <w:r>
                    <w:rPr>
                      <w:rFonts w:asciiTheme="minorHAnsi" w:hAnsiTheme="minorHAnsi" w:cstheme="minorBidi"/>
                      <w:szCs w:val="24"/>
                    </w:rPr>
                    <w:t>N/A</w:t>
                  </w:r>
                </w:p>
              </w:tc>
              <w:tc>
                <w:tcPr>
                  <w:tcW w:w="2585" w:type="dxa"/>
                </w:tcPr>
                <w:p w14:paraId="2B9C0353" w14:textId="2A874D3B" w:rsidR="006615A1" w:rsidRPr="00072B22" w:rsidRDefault="00782DCE" w:rsidP="006615A1">
                  <w:pPr>
                    <w:jc w:val="left"/>
                    <w:rPr>
                      <w:rFonts w:asciiTheme="minorHAnsi" w:hAnsiTheme="minorHAnsi" w:cstheme="minorBidi"/>
                      <w:szCs w:val="24"/>
                    </w:rPr>
                  </w:pPr>
                  <w:r>
                    <w:rPr>
                      <w:rFonts w:asciiTheme="minorHAnsi" w:hAnsiTheme="minorHAnsi" w:cstheme="minorBidi"/>
                      <w:szCs w:val="24"/>
                    </w:rPr>
                    <w:t xml:space="preserve">- </w:t>
                  </w:r>
                  <w:r w:rsidR="006615A1" w:rsidRPr="35283E35">
                    <w:rPr>
                      <w:rFonts w:asciiTheme="minorHAnsi" w:hAnsiTheme="minorHAnsi" w:cstheme="minorBidi"/>
                      <w:szCs w:val="24"/>
                    </w:rPr>
                    <w:t>BNSSG LARC audit.</w:t>
                  </w:r>
                </w:p>
                <w:p w14:paraId="1B386258" w14:textId="61F797C5" w:rsidR="006615A1" w:rsidRPr="00072B22" w:rsidRDefault="00782DCE" w:rsidP="006615A1">
                  <w:pPr>
                    <w:jc w:val="left"/>
                    <w:rPr>
                      <w:rFonts w:asciiTheme="minorHAnsi" w:hAnsiTheme="minorHAnsi" w:cstheme="minorBidi"/>
                      <w:szCs w:val="24"/>
                    </w:rPr>
                  </w:pPr>
                  <w:r>
                    <w:rPr>
                      <w:rFonts w:asciiTheme="minorHAnsi" w:hAnsiTheme="minorHAnsi" w:cstheme="minorBidi"/>
                      <w:szCs w:val="24"/>
                    </w:rPr>
                    <w:t>- PH Quarterly Claim Form.</w:t>
                  </w:r>
                </w:p>
                <w:p w14:paraId="3F5E2297" w14:textId="3BFDB198" w:rsidR="009A44D3" w:rsidRPr="00072B22" w:rsidRDefault="009A44D3" w:rsidP="006615A1">
                  <w:pPr>
                    <w:jc w:val="left"/>
                    <w:rPr>
                      <w:rFonts w:asciiTheme="minorHAnsi" w:hAnsiTheme="minorHAnsi" w:cstheme="minorBidi"/>
                      <w:szCs w:val="24"/>
                    </w:rPr>
                  </w:pPr>
                </w:p>
              </w:tc>
            </w:tr>
          </w:tbl>
          <w:p w14:paraId="56EA9C33" w14:textId="77777777" w:rsidR="00327DF7" w:rsidRPr="00072B22" w:rsidRDefault="00327DF7" w:rsidP="35283E35">
            <w:pPr>
              <w:suppressAutoHyphens w:val="0"/>
              <w:jc w:val="left"/>
              <w:rPr>
                <w:rFonts w:asciiTheme="minorHAnsi" w:eastAsiaTheme="minorEastAsia" w:hAnsiTheme="minorHAnsi" w:cstheme="minorBidi"/>
                <w:szCs w:val="24"/>
              </w:rPr>
            </w:pPr>
          </w:p>
        </w:tc>
      </w:tr>
    </w:tbl>
    <w:p w14:paraId="33A8CF06" w14:textId="77777777" w:rsidR="00054CE3" w:rsidRDefault="00054CE3" w:rsidP="35283E35">
      <w:pPr>
        <w:pStyle w:val="Heading1"/>
        <w:rPr>
          <w:rFonts w:asciiTheme="minorHAnsi" w:hAnsiTheme="minorHAnsi" w:cstheme="minorBidi"/>
          <w:color w:val="2F5496" w:themeColor="accent1" w:themeShade="BF"/>
          <w:sz w:val="36"/>
          <w:szCs w:val="36"/>
        </w:rPr>
      </w:pPr>
    </w:p>
    <w:p w14:paraId="35DA8616" w14:textId="77777777" w:rsidR="00782DCE" w:rsidRDefault="00782DCE" w:rsidP="00782DCE"/>
    <w:p w14:paraId="6DC71B83" w14:textId="77777777" w:rsidR="00782DCE" w:rsidRDefault="00782DCE" w:rsidP="00782DCE"/>
    <w:p w14:paraId="22997438" w14:textId="77777777" w:rsidR="00782DCE" w:rsidRDefault="00782DCE" w:rsidP="00782DCE"/>
    <w:p w14:paraId="7463F108" w14:textId="77777777" w:rsidR="00782DCE" w:rsidRDefault="00782DCE" w:rsidP="00782DCE"/>
    <w:p w14:paraId="00D855E6" w14:textId="77777777" w:rsidR="00782DCE" w:rsidRDefault="00782DCE" w:rsidP="00782DCE"/>
    <w:p w14:paraId="44A79DAD" w14:textId="77777777" w:rsidR="00782DCE" w:rsidRPr="00782DCE" w:rsidRDefault="00782DCE" w:rsidP="00782DCE"/>
    <w:p w14:paraId="47AF28D6" w14:textId="77777777" w:rsidR="00782DCE" w:rsidRDefault="00782DCE" w:rsidP="00782DCE"/>
    <w:p w14:paraId="18951793" w14:textId="77777777" w:rsidR="00782DCE" w:rsidRPr="00782DCE" w:rsidRDefault="00782DCE" w:rsidP="00782DCE"/>
    <w:p w14:paraId="173B02E9" w14:textId="77777777" w:rsidR="00054CE3" w:rsidRDefault="00054CE3" w:rsidP="35283E35">
      <w:pPr>
        <w:pStyle w:val="Heading1"/>
        <w:rPr>
          <w:rFonts w:asciiTheme="minorHAnsi" w:hAnsiTheme="minorHAnsi" w:cstheme="minorBidi"/>
          <w:color w:val="2F5496" w:themeColor="accent1" w:themeShade="BF"/>
          <w:sz w:val="36"/>
          <w:szCs w:val="36"/>
        </w:rPr>
      </w:pPr>
    </w:p>
    <w:p w14:paraId="59EDDFEE" w14:textId="77777777" w:rsidR="00054CE3" w:rsidRDefault="00054CE3" w:rsidP="35283E35">
      <w:pPr>
        <w:pStyle w:val="Heading1"/>
        <w:rPr>
          <w:rFonts w:asciiTheme="minorHAnsi" w:hAnsiTheme="minorHAnsi" w:cstheme="minorBidi"/>
          <w:color w:val="2F5496" w:themeColor="accent1" w:themeShade="BF"/>
          <w:sz w:val="36"/>
          <w:szCs w:val="36"/>
        </w:rPr>
      </w:pPr>
    </w:p>
    <w:p w14:paraId="463CB2D5" w14:textId="4DEB60D0" w:rsidR="00BB6BB5" w:rsidRPr="00072B22" w:rsidRDefault="00BB6BB5" w:rsidP="35283E35">
      <w:pPr>
        <w:pStyle w:val="Heading1"/>
        <w:rPr>
          <w:rFonts w:asciiTheme="minorHAnsi" w:hAnsiTheme="minorHAnsi" w:cstheme="minorBidi"/>
          <w:color w:val="2F5496" w:themeColor="accent1" w:themeShade="BF"/>
        </w:rPr>
      </w:pPr>
      <w:r w:rsidRPr="00FD74BD">
        <w:rPr>
          <w:rFonts w:asciiTheme="minorHAnsi" w:hAnsiTheme="minorHAnsi" w:cstheme="minorBidi"/>
          <w:color w:val="2F5496" w:themeColor="accent1" w:themeShade="BF"/>
          <w:sz w:val="36"/>
          <w:szCs w:val="36"/>
        </w:rPr>
        <w:t>P</w:t>
      </w:r>
      <w:r w:rsidR="00072B22" w:rsidRPr="00FD74BD">
        <w:rPr>
          <w:rFonts w:asciiTheme="minorHAnsi" w:hAnsiTheme="minorHAnsi" w:cstheme="minorBidi"/>
          <w:color w:val="2F5496" w:themeColor="accent1" w:themeShade="BF"/>
          <w:sz w:val="36"/>
          <w:szCs w:val="36"/>
        </w:rPr>
        <w:t>ART</w:t>
      </w:r>
      <w:r w:rsidRPr="00FD74BD">
        <w:rPr>
          <w:rFonts w:asciiTheme="minorHAnsi" w:hAnsiTheme="minorHAnsi" w:cstheme="minorBidi"/>
          <w:color w:val="2F5496" w:themeColor="accent1" w:themeShade="BF"/>
          <w:sz w:val="36"/>
          <w:szCs w:val="36"/>
        </w:rPr>
        <w:t xml:space="preserve"> B</w:t>
      </w:r>
    </w:p>
    <w:p w14:paraId="13A4F3AB" w14:textId="22E36112" w:rsidR="00072B22" w:rsidRPr="00072B22" w:rsidRDefault="00FD74BD" w:rsidP="35283E35">
      <w:pPr>
        <w:suppressAutoHyphens w:val="0"/>
        <w:jc w:val="left"/>
        <w:rPr>
          <w:rFonts w:asciiTheme="minorHAnsi" w:eastAsia="MS ??" w:hAnsiTheme="minorHAnsi" w:cstheme="minorBidi"/>
          <w:b/>
          <w:bCs/>
          <w:szCs w:val="24"/>
        </w:rPr>
      </w:pPr>
      <w:bookmarkStart w:id="2" w:name="_Hlk165551396"/>
      <w:r>
        <w:rPr>
          <w:rFonts w:asciiTheme="minorHAnsi" w:hAnsiTheme="minorHAnsi" w:cstheme="minorBidi"/>
          <w:szCs w:val="24"/>
        </w:rPr>
        <w:t xml:space="preserve">Service specification: </w:t>
      </w:r>
      <w:r w:rsidRPr="00FD74BD">
        <w:rPr>
          <w:rFonts w:ascii="Calibri" w:hAnsi="Calibri" w:cs="Calibri"/>
          <w:b/>
          <w:bCs/>
          <w:szCs w:val="24"/>
        </w:rPr>
        <w:t>Chlamydia and Gonorrhoea Testing</w:t>
      </w:r>
    </w:p>
    <w:bookmarkEnd w:id="2"/>
    <w:p w14:paraId="2D22C507" w14:textId="77777777" w:rsidR="00072B22" w:rsidRPr="00072B22" w:rsidRDefault="00072B22" w:rsidP="35283E35">
      <w:pPr>
        <w:suppressAutoHyphens w:val="0"/>
        <w:jc w:val="left"/>
        <w:rPr>
          <w:rFonts w:asciiTheme="minorHAnsi" w:eastAsia="MS ??" w:hAnsiTheme="minorHAnsi" w:cstheme="minorBidi"/>
          <w:b/>
          <w:bCs/>
          <w:szCs w:val="24"/>
        </w:rPr>
      </w:pPr>
    </w:p>
    <w:tbl>
      <w:tblPr>
        <w:tblW w:w="90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298"/>
        <w:gridCol w:w="4719"/>
      </w:tblGrid>
      <w:tr w:rsidR="00072B22" w:rsidRPr="00072B22" w14:paraId="24E9CCCE" w14:textId="77777777" w:rsidTr="5A492550">
        <w:trPr>
          <w:trHeight w:val="330"/>
        </w:trPr>
        <w:tc>
          <w:tcPr>
            <w:tcW w:w="4298" w:type="dxa"/>
            <w:shd w:val="clear" w:color="auto" w:fill="595959" w:themeFill="text1" w:themeFillTint="A6"/>
            <w:vAlign w:val="center"/>
          </w:tcPr>
          <w:p w14:paraId="29ED5A9C" w14:textId="77777777" w:rsidR="00072B22" w:rsidRPr="00072B22" w:rsidRDefault="00072B22" w:rsidP="35283E35">
            <w:pPr>
              <w:suppressAutoHyphens w:val="0"/>
              <w:jc w:val="left"/>
              <w:rPr>
                <w:rFonts w:asciiTheme="minorHAnsi" w:eastAsia="MS ??" w:hAnsiTheme="minorHAnsi" w:cstheme="minorBidi"/>
                <w:color w:val="FFFF00"/>
                <w:szCs w:val="24"/>
              </w:rPr>
            </w:pPr>
            <w:r w:rsidRPr="35283E35">
              <w:rPr>
                <w:rFonts w:asciiTheme="minorHAnsi" w:eastAsia="MS ??" w:hAnsiTheme="minorHAnsi" w:cstheme="minorBidi"/>
                <w:color w:val="FFC000" w:themeColor="accent4"/>
                <w:szCs w:val="24"/>
              </w:rPr>
              <w:t>Service Specification No.</w:t>
            </w:r>
          </w:p>
        </w:tc>
        <w:tc>
          <w:tcPr>
            <w:tcW w:w="4719" w:type="dxa"/>
            <w:vAlign w:val="center"/>
          </w:tcPr>
          <w:p w14:paraId="11B9EDF0" w14:textId="257103B6" w:rsidR="00072B22" w:rsidRPr="00072B22" w:rsidRDefault="00072B22" w:rsidP="5160D0DF">
            <w:pPr>
              <w:suppressAutoHyphens w:val="0"/>
              <w:jc w:val="left"/>
              <w:rPr>
                <w:rFonts w:asciiTheme="minorHAnsi" w:eastAsia="MS ??" w:hAnsiTheme="minorHAnsi" w:cstheme="minorBidi"/>
                <w:b/>
                <w:bCs/>
              </w:rPr>
            </w:pPr>
            <w:r w:rsidRPr="5160D0DF">
              <w:rPr>
                <w:rFonts w:asciiTheme="minorHAnsi" w:eastAsia="MS ??" w:hAnsiTheme="minorHAnsi" w:cstheme="minorBidi"/>
                <w:b/>
                <w:bCs/>
              </w:rPr>
              <w:t>2026 SHSB</w:t>
            </w:r>
          </w:p>
        </w:tc>
      </w:tr>
      <w:tr w:rsidR="00072B22" w:rsidRPr="00072B22" w14:paraId="7F1716A8" w14:textId="77777777" w:rsidTr="5A492550">
        <w:trPr>
          <w:trHeight w:val="567"/>
        </w:trPr>
        <w:tc>
          <w:tcPr>
            <w:tcW w:w="4298" w:type="dxa"/>
            <w:shd w:val="clear" w:color="auto" w:fill="595959" w:themeFill="text1" w:themeFillTint="A6"/>
            <w:vAlign w:val="center"/>
          </w:tcPr>
          <w:p w14:paraId="3862D2A7" w14:textId="77777777" w:rsidR="00072B22" w:rsidRPr="00072B22" w:rsidRDefault="00072B22" w:rsidP="35283E35">
            <w:pPr>
              <w:suppressAutoHyphens w:val="0"/>
              <w:jc w:val="left"/>
              <w:rPr>
                <w:rFonts w:asciiTheme="minorHAnsi" w:eastAsia="MS ??" w:hAnsiTheme="minorHAnsi" w:cstheme="minorBidi"/>
                <w:color w:val="FFFF00"/>
                <w:szCs w:val="24"/>
              </w:rPr>
            </w:pPr>
            <w:r w:rsidRPr="35283E35">
              <w:rPr>
                <w:rFonts w:asciiTheme="minorHAnsi" w:eastAsia="MS ??" w:hAnsiTheme="minorHAnsi" w:cstheme="minorBidi"/>
                <w:color w:val="FFC000" w:themeColor="accent4"/>
                <w:szCs w:val="24"/>
              </w:rPr>
              <w:t>Service</w:t>
            </w:r>
          </w:p>
        </w:tc>
        <w:tc>
          <w:tcPr>
            <w:tcW w:w="4719" w:type="dxa"/>
            <w:vAlign w:val="center"/>
          </w:tcPr>
          <w:p w14:paraId="42382603" w14:textId="732B992E" w:rsidR="00072B22" w:rsidRPr="00FD74BD" w:rsidRDefault="00072B22" w:rsidP="35283E35">
            <w:pPr>
              <w:suppressAutoHyphens w:val="0"/>
              <w:jc w:val="left"/>
              <w:rPr>
                <w:rFonts w:asciiTheme="minorHAnsi" w:eastAsia="MS ??" w:hAnsiTheme="minorHAnsi" w:cstheme="minorBidi"/>
                <w:b/>
                <w:bCs/>
                <w:szCs w:val="24"/>
              </w:rPr>
            </w:pPr>
            <w:r w:rsidRPr="00FD74BD">
              <w:rPr>
                <w:rFonts w:ascii="Calibri" w:hAnsi="Calibri" w:cs="Calibri"/>
                <w:b/>
                <w:bCs/>
                <w:szCs w:val="24"/>
              </w:rPr>
              <w:t>Chlamydia and Gonorrhoea Testing</w:t>
            </w:r>
          </w:p>
        </w:tc>
      </w:tr>
      <w:tr w:rsidR="00072B22" w:rsidRPr="00072B22" w14:paraId="22DDC815" w14:textId="77777777" w:rsidTr="5A492550">
        <w:trPr>
          <w:trHeight w:val="871"/>
        </w:trPr>
        <w:tc>
          <w:tcPr>
            <w:tcW w:w="4298" w:type="dxa"/>
            <w:shd w:val="clear" w:color="auto" w:fill="595959" w:themeFill="text1" w:themeFillTint="A6"/>
            <w:vAlign w:val="center"/>
          </w:tcPr>
          <w:p w14:paraId="33CD1581" w14:textId="77777777" w:rsidR="00072B22" w:rsidRPr="00072B22" w:rsidRDefault="00072B22" w:rsidP="35283E35">
            <w:pPr>
              <w:suppressAutoHyphens w:val="0"/>
              <w:jc w:val="left"/>
              <w:rPr>
                <w:rFonts w:asciiTheme="minorHAnsi" w:eastAsia="MS ??" w:hAnsiTheme="minorHAnsi" w:cstheme="minorBidi"/>
                <w:color w:val="FFFF00"/>
                <w:szCs w:val="24"/>
              </w:rPr>
            </w:pPr>
            <w:r w:rsidRPr="35283E35">
              <w:rPr>
                <w:rFonts w:asciiTheme="minorHAnsi" w:eastAsia="MS ??" w:hAnsiTheme="minorHAnsi" w:cstheme="minorBidi"/>
                <w:color w:val="FFC000" w:themeColor="accent4"/>
                <w:szCs w:val="24"/>
              </w:rPr>
              <w:t>Authority Lead</w:t>
            </w:r>
          </w:p>
        </w:tc>
        <w:tc>
          <w:tcPr>
            <w:tcW w:w="4719" w:type="dxa"/>
            <w:vAlign w:val="center"/>
          </w:tcPr>
          <w:p w14:paraId="50740251" w14:textId="43847DEE" w:rsidR="5160D0DF" w:rsidRDefault="5160D0DF" w:rsidP="5160D0DF">
            <w:pPr>
              <w:jc w:val="left"/>
              <w:rPr>
                <w:rFonts w:asciiTheme="minorHAnsi" w:eastAsia="MS ??" w:hAnsiTheme="minorHAnsi" w:cstheme="minorBidi"/>
              </w:rPr>
            </w:pPr>
            <w:r w:rsidRPr="5160D0DF">
              <w:rPr>
                <w:rFonts w:asciiTheme="minorHAnsi" w:eastAsia="MS ??" w:hAnsiTheme="minorHAnsi" w:cstheme="minorBidi"/>
              </w:rPr>
              <w:t xml:space="preserve">Kate Blakley, Sexual Heath Commissioning Manager, </w:t>
            </w:r>
          </w:p>
          <w:p w14:paraId="1AC973AE" w14:textId="6BFBCC3B" w:rsidR="5160D0DF" w:rsidRDefault="5160D0DF" w:rsidP="5160D0DF">
            <w:pPr>
              <w:jc w:val="left"/>
              <w:rPr>
                <w:rFonts w:asciiTheme="minorHAnsi" w:eastAsia="MS ??" w:hAnsiTheme="minorHAnsi" w:cstheme="minorBidi"/>
              </w:rPr>
            </w:pPr>
            <w:r w:rsidRPr="5160D0DF">
              <w:rPr>
                <w:rFonts w:asciiTheme="minorHAnsi" w:eastAsia="MS ??" w:hAnsiTheme="minorHAnsi" w:cstheme="minorBidi"/>
              </w:rPr>
              <w:t xml:space="preserve">Healthy and Sustainable Communities, </w:t>
            </w:r>
          </w:p>
          <w:p w14:paraId="06C40BFD" w14:textId="77777777" w:rsidR="5160D0DF" w:rsidRDefault="5160D0DF" w:rsidP="5160D0DF">
            <w:pPr>
              <w:jc w:val="left"/>
              <w:rPr>
                <w:rFonts w:asciiTheme="minorHAnsi" w:eastAsia="MS ??" w:hAnsiTheme="minorHAnsi" w:cstheme="minorBidi"/>
              </w:rPr>
            </w:pPr>
            <w:r w:rsidRPr="5160D0DF">
              <w:rPr>
                <w:rFonts w:asciiTheme="minorHAnsi" w:eastAsia="MS ??" w:hAnsiTheme="minorHAnsi" w:cstheme="minorBidi"/>
              </w:rPr>
              <w:t>North Somerset Council</w:t>
            </w:r>
          </w:p>
          <w:p w14:paraId="46E0B9B0" w14:textId="77777777" w:rsidR="5160D0DF" w:rsidRDefault="5160D0DF" w:rsidP="5160D0DF">
            <w:pPr>
              <w:jc w:val="left"/>
              <w:rPr>
                <w:rFonts w:asciiTheme="minorHAnsi" w:eastAsia="MS ??" w:hAnsiTheme="minorHAnsi" w:cstheme="minorBidi"/>
              </w:rPr>
            </w:pPr>
            <w:r w:rsidRPr="5160D0DF">
              <w:rPr>
                <w:rFonts w:asciiTheme="minorHAnsi" w:eastAsia="MS ??" w:hAnsiTheme="minorHAnsi" w:cstheme="minorBidi"/>
                <w:b/>
                <w:bCs/>
              </w:rPr>
              <w:t>Email:</w:t>
            </w:r>
            <w:r w:rsidRPr="5160D0DF">
              <w:rPr>
                <w:rFonts w:asciiTheme="minorHAnsi" w:eastAsia="MS ??" w:hAnsiTheme="minorHAnsi" w:cstheme="minorBidi"/>
              </w:rPr>
              <w:t xml:space="preserve"> </w:t>
            </w:r>
            <w:hyperlink r:id="rId35">
              <w:r w:rsidRPr="5160D0DF">
                <w:rPr>
                  <w:rStyle w:val="Hyperlink"/>
                  <w:rFonts w:asciiTheme="minorHAnsi" w:eastAsia="MS ??" w:hAnsiTheme="minorHAnsi" w:cstheme="minorBidi"/>
                </w:rPr>
                <w:t>kate.blakley@n-somerset.gov.uk</w:t>
              </w:r>
            </w:hyperlink>
            <w:r w:rsidRPr="5160D0DF">
              <w:rPr>
                <w:rFonts w:asciiTheme="minorHAnsi" w:eastAsia="MS ??" w:hAnsiTheme="minorHAnsi" w:cstheme="minorBidi"/>
              </w:rPr>
              <w:t xml:space="preserve"> </w:t>
            </w:r>
          </w:p>
          <w:p w14:paraId="74E3E1AB" w14:textId="4A856CD0" w:rsidR="5160D0DF" w:rsidRDefault="5160D0DF" w:rsidP="5160D0DF">
            <w:pPr>
              <w:jc w:val="left"/>
              <w:rPr>
                <w:rFonts w:asciiTheme="minorHAnsi" w:eastAsia="MS ??" w:hAnsiTheme="minorHAnsi" w:cstheme="minorBidi"/>
              </w:rPr>
            </w:pPr>
            <w:r w:rsidRPr="5160D0DF">
              <w:rPr>
                <w:rFonts w:asciiTheme="minorHAnsi" w:eastAsia="MS ??" w:hAnsiTheme="minorHAnsi" w:cstheme="minorBidi"/>
                <w:b/>
                <w:bCs/>
              </w:rPr>
              <w:t xml:space="preserve">Post: </w:t>
            </w:r>
            <w:r w:rsidRPr="5160D0DF">
              <w:rPr>
                <w:rFonts w:asciiTheme="minorHAnsi" w:eastAsia="MS ??" w:hAnsiTheme="minorHAnsi" w:cstheme="minorBidi"/>
              </w:rPr>
              <w:t>Public Health, Town Hall, Walliscote Grove Road, Weston Super mare - BS23 1UJ </w:t>
            </w:r>
          </w:p>
        </w:tc>
      </w:tr>
      <w:tr w:rsidR="00072B22" w:rsidRPr="00072B22" w14:paraId="1AA02EF2" w14:textId="77777777" w:rsidTr="5A492550">
        <w:trPr>
          <w:trHeight w:val="871"/>
        </w:trPr>
        <w:tc>
          <w:tcPr>
            <w:tcW w:w="4298" w:type="dxa"/>
            <w:shd w:val="clear" w:color="auto" w:fill="595959" w:themeFill="text1" w:themeFillTint="A6"/>
            <w:vAlign w:val="center"/>
          </w:tcPr>
          <w:p w14:paraId="315197CF" w14:textId="4B660C98" w:rsidR="00072B22" w:rsidRPr="00072B22" w:rsidRDefault="5F9EE1B4" w:rsidP="5160D0DF">
            <w:pPr>
              <w:spacing w:line="259" w:lineRule="auto"/>
              <w:jc w:val="left"/>
            </w:pPr>
            <w:r w:rsidRPr="5160D0DF">
              <w:rPr>
                <w:rFonts w:asciiTheme="minorHAnsi" w:eastAsia="MS ??" w:hAnsiTheme="minorHAnsi" w:cstheme="minorBidi"/>
                <w:color w:val="FFC000" w:themeColor="accent4"/>
                <w:lang w:val="en"/>
              </w:rPr>
              <w:t>Start date</w:t>
            </w:r>
            <w:bookmarkStart w:id="3" w:name="_Hlk165552105"/>
          </w:p>
        </w:tc>
        <w:tc>
          <w:tcPr>
            <w:tcW w:w="4719" w:type="dxa"/>
            <w:vAlign w:val="center"/>
          </w:tcPr>
          <w:p w14:paraId="64630A88" w14:textId="0E12112B" w:rsidR="5160D0DF" w:rsidRDefault="5160D0DF" w:rsidP="5160D0DF">
            <w:pPr>
              <w:jc w:val="left"/>
              <w:rPr>
                <w:rFonts w:asciiTheme="minorHAnsi" w:eastAsia="MS ??" w:hAnsiTheme="minorHAnsi" w:cstheme="minorBidi"/>
              </w:rPr>
            </w:pPr>
            <w:r w:rsidRPr="5160D0DF">
              <w:rPr>
                <w:rFonts w:asciiTheme="minorHAnsi" w:eastAsia="MS ??" w:hAnsiTheme="minorHAnsi" w:cstheme="minorBidi"/>
              </w:rPr>
              <w:t xml:space="preserve">1st April 2026 </w:t>
            </w:r>
          </w:p>
        </w:tc>
      </w:tr>
      <w:tr w:rsidR="00072B22" w:rsidRPr="00072B22" w14:paraId="2D037FA7" w14:textId="77777777" w:rsidTr="5A492550">
        <w:trPr>
          <w:trHeight w:val="871"/>
        </w:trPr>
        <w:tc>
          <w:tcPr>
            <w:tcW w:w="4298" w:type="dxa"/>
            <w:shd w:val="clear" w:color="auto" w:fill="595959" w:themeFill="text1" w:themeFillTint="A6"/>
            <w:vAlign w:val="center"/>
          </w:tcPr>
          <w:p w14:paraId="0E35C692" w14:textId="77777777" w:rsidR="00072B22" w:rsidRPr="00072B22" w:rsidRDefault="00072B22" w:rsidP="35283E35">
            <w:pPr>
              <w:suppressAutoHyphens w:val="0"/>
              <w:jc w:val="left"/>
              <w:rPr>
                <w:rFonts w:asciiTheme="minorHAnsi" w:eastAsia="MS ??" w:hAnsiTheme="minorHAnsi" w:cstheme="minorBidi"/>
                <w:color w:val="FFC000"/>
                <w:szCs w:val="24"/>
              </w:rPr>
            </w:pPr>
            <w:r w:rsidRPr="35283E35">
              <w:rPr>
                <w:rFonts w:asciiTheme="minorHAnsi" w:eastAsia="MS ??" w:hAnsiTheme="minorHAnsi" w:cstheme="minorBidi"/>
                <w:color w:val="FFC000" w:themeColor="accent4"/>
                <w:szCs w:val="24"/>
                <w:lang w:val="en"/>
              </w:rPr>
              <w:t>Date of Review</w:t>
            </w:r>
          </w:p>
        </w:tc>
        <w:tc>
          <w:tcPr>
            <w:tcW w:w="4719" w:type="dxa"/>
            <w:vAlign w:val="center"/>
          </w:tcPr>
          <w:p w14:paraId="62B8517C" w14:textId="7ABB2AC0" w:rsidR="5160D0DF" w:rsidRDefault="5160D0DF" w:rsidP="5160D0DF">
            <w:pPr>
              <w:jc w:val="left"/>
              <w:rPr>
                <w:rFonts w:asciiTheme="minorHAnsi" w:eastAsia="MS ??" w:hAnsiTheme="minorHAnsi" w:cstheme="minorBidi"/>
              </w:rPr>
            </w:pPr>
            <w:r w:rsidRPr="5160D0DF">
              <w:rPr>
                <w:rFonts w:asciiTheme="minorHAnsi" w:eastAsia="MS ??" w:hAnsiTheme="minorHAnsi" w:cstheme="minorBidi"/>
              </w:rPr>
              <w:t>Jan 2027</w:t>
            </w:r>
          </w:p>
        </w:tc>
      </w:tr>
      <w:bookmarkEnd w:id="3"/>
      <w:tr w:rsidR="00072B22" w:rsidRPr="00072B22" w14:paraId="4484C552"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017" w:type="dxa"/>
            <w:gridSpan w:val="2"/>
            <w:tcBorders>
              <w:top w:val="single" w:sz="4" w:space="0" w:color="999999"/>
              <w:left w:val="single" w:sz="4" w:space="0" w:color="999999"/>
              <w:bottom w:val="single" w:sz="4" w:space="0" w:color="999999"/>
              <w:right w:val="single" w:sz="4" w:space="0" w:color="999999"/>
            </w:tcBorders>
            <w:shd w:val="clear" w:color="auto" w:fill="666666"/>
            <w:vAlign w:val="center"/>
          </w:tcPr>
          <w:p w14:paraId="7A4502AE" w14:textId="77777777" w:rsidR="00072B22" w:rsidRPr="00072B22" w:rsidRDefault="00072B22" w:rsidP="35283E35">
            <w:pPr>
              <w:suppressAutoHyphens w:val="0"/>
              <w:jc w:val="left"/>
              <w:rPr>
                <w:rFonts w:asciiTheme="minorHAnsi" w:eastAsia="MS ??" w:hAnsiTheme="minorHAnsi" w:cstheme="minorBidi"/>
                <w:color w:val="FFFF00"/>
                <w:szCs w:val="24"/>
              </w:rPr>
            </w:pPr>
            <w:r w:rsidRPr="35283E35">
              <w:rPr>
                <w:rFonts w:asciiTheme="minorHAnsi" w:eastAsia="MS ??" w:hAnsiTheme="minorHAnsi" w:cstheme="minorBidi"/>
                <w:color w:val="FFC000" w:themeColor="accent4"/>
                <w:szCs w:val="24"/>
              </w:rPr>
              <w:t>1.  Population Needs</w:t>
            </w:r>
          </w:p>
        </w:tc>
      </w:tr>
      <w:tr w:rsidR="00072B22" w:rsidRPr="00072B22" w14:paraId="1BCCD20F"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9017" w:type="dxa"/>
            <w:gridSpan w:val="2"/>
            <w:tcBorders>
              <w:top w:val="single" w:sz="4" w:space="0" w:color="999999"/>
              <w:left w:val="single" w:sz="4" w:space="0" w:color="999999"/>
              <w:bottom w:val="single" w:sz="4" w:space="0" w:color="999999"/>
              <w:right w:val="single" w:sz="4" w:space="0" w:color="999999"/>
            </w:tcBorders>
          </w:tcPr>
          <w:p w14:paraId="3492BB39" w14:textId="215BF524" w:rsidR="00072B22" w:rsidRPr="00072B22" w:rsidRDefault="000D6C67"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 xml:space="preserve">1.1 </w:t>
            </w:r>
            <w:r w:rsidR="00072B22" w:rsidRPr="35283E35">
              <w:rPr>
                <w:rFonts w:asciiTheme="minorHAnsi" w:hAnsiTheme="minorHAnsi" w:cstheme="minorBidi"/>
                <w:b/>
                <w:bCs/>
                <w:color w:val="339966"/>
                <w:szCs w:val="24"/>
              </w:rPr>
              <w:t>Introduction</w:t>
            </w:r>
          </w:p>
          <w:p w14:paraId="7C254AC7" w14:textId="77777777" w:rsidR="00072B22" w:rsidRPr="00072B22" w:rsidRDefault="00072B22" w:rsidP="35283E35">
            <w:pPr>
              <w:jc w:val="left"/>
              <w:rPr>
                <w:rFonts w:asciiTheme="minorHAnsi" w:hAnsiTheme="minorHAnsi" w:cstheme="minorBidi"/>
                <w:szCs w:val="24"/>
              </w:rPr>
            </w:pPr>
            <w:r w:rsidRPr="35283E35">
              <w:rPr>
                <w:rFonts w:asciiTheme="minorHAnsi" w:hAnsiTheme="minorHAnsi" w:cstheme="minorBidi"/>
                <w:szCs w:val="24"/>
              </w:rPr>
              <w:t>Good sexual health should provide for a state of physical, emotional, mental and social wellbeing in relation to sexuality; not merely the absence of disease, dysfunction or infirmity</w:t>
            </w:r>
            <w:r w:rsidRPr="35283E35">
              <w:rPr>
                <w:rFonts w:asciiTheme="minorHAnsi" w:hAnsiTheme="minorHAnsi" w:cstheme="minorBidi"/>
                <w:szCs w:val="24"/>
                <w:vertAlign w:val="superscript"/>
              </w:rPr>
              <w:footnoteReference w:id="8"/>
            </w:r>
            <w:r w:rsidRPr="35283E35">
              <w:rPr>
                <w:rFonts w:asciiTheme="minorHAnsi" w:hAnsiTheme="minorHAnsi" w:cstheme="minorBidi"/>
                <w:szCs w:val="24"/>
              </w:rPr>
              <w:t>. Improving the sexual health of the population is a public health priority at national</w:t>
            </w:r>
            <w:r w:rsidRPr="35283E35">
              <w:rPr>
                <w:rFonts w:asciiTheme="minorHAnsi" w:hAnsiTheme="minorHAnsi" w:cstheme="minorBidi"/>
                <w:szCs w:val="24"/>
                <w:vertAlign w:val="superscript"/>
              </w:rPr>
              <w:t>1</w:t>
            </w:r>
            <w:r w:rsidRPr="35283E35">
              <w:rPr>
                <w:rFonts w:asciiTheme="minorHAnsi" w:hAnsiTheme="minorHAnsi" w:cstheme="minorBidi"/>
                <w:szCs w:val="24"/>
              </w:rPr>
              <w:t>, regional, and local levels, and supports delivery of the ICS strategy</w:t>
            </w:r>
            <w:r w:rsidRPr="35283E35">
              <w:rPr>
                <w:rFonts w:asciiTheme="minorHAnsi" w:hAnsiTheme="minorHAnsi" w:cstheme="minorBidi"/>
                <w:szCs w:val="24"/>
                <w:vertAlign w:val="superscript"/>
              </w:rPr>
              <w:footnoteReference w:id="9"/>
            </w:r>
            <w:r w:rsidRPr="35283E35">
              <w:rPr>
                <w:rFonts w:asciiTheme="minorHAnsi" w:hAnsiTheme="minorHAnsi" w:cstheme="minorBidi"/>
                <w:szCs w:val="24"/>
              </w:rPr>
              <w:t>, North Somerset’s Health and Wellbeing strategy</w:t>
            </w:r>
            <w:r w:rsidRPr="35283E35">
              <w:rPr>
                <w:rFonts w:asciiTheme="minorHAnsi" w:hAnsiTheme="minorHAnsi" w:cstheme="minorBidi"/>
                <w:szCs w:val="24"/>
                <w:vertAlign w:val="superscript"/>
              </w:rPr>
              <w:footnoteReference w:id="10"/>
            </w:r>
            <w:r w:rsidRPr="35283E35">
              <w:rPr>
                <w:rFonts w:asciiTheme="minorHAnsi" w:hAnsiTheme="minorHAnsi" w:cstheme="minorBidi"/>
                <w:szCs w:val="24"/>
              </w:rPr>
              <w:t>, and North Somerset Councils Corporate plan</w:t>
            </w:r>
            <w:r w:rsidRPr="35283E35">
              <w:rPr>
                <w:rFonts w:asciiTheme="minorHAnsi" w:hAnsiTheme="minorHAnsi" w:cstheme="minorBidi"/>
                <w:szCs w:val="24"/>
                <w:vertAlign w:val="superscript"/>
              </w:rPr>
              <w:footnoteReference w:id="11"/>
            </w:r>
            <w:r w:rsidRPr="35283E35">
              <w:rPr>
                <w:rFonts w:asciiTheme="minorHAnsi" w:hAnsiTheme="minorHAnsi" w:cstheme="minorBidi"/>
                <w:szCs w:val="24"/>
              </w:rPr>
              <w:t xml:space="preserve">. </w:t>
            </w:r>
          </w:p>
          <w:p w14:paraId="3DB2A2AA" w14:textId="77777777" w:rsidR="00072B22" w:rsidRPr="00072B22" w:rsidRDefault="00072B22" w:rsidP="35283E35">
            <w:pPr>
              <w:jc w:val="left"/>
              <w:rPr>
                <w:rFonts w:asciiTheme="minorHAnsi" w:hAnsiTheme="minorHAnsi" w:cstheme="minorBidi"/>
                <w:szCs w:val="24"/>
              </w:rPr>
            </w:pPr>
          </w:p>
          <w:p w14:paraId="1AB888AA" w14:textId="77777777" w:rsidR="00F87888" w:rsidRPr="00F87888" w:rsidRDefault="00072B22" w:rsidP="35283E35">
            <w:pPr>
              <w:rPr>
                <w:rFonts w:ascii="Calibri" w:hAnsi="Calibri" w:cs="Calibri"/>
                <w:szCs w:val="24"/>
              </w:rPr>
            </w:pPr>
            <w:r w:rsidRPr="35283E35">
              <w:rPr>
                <w:rFonts w:asciiTheme="minorHAnsi" w:hAnsiTheme="minorHAnsi" w:cstheme="minorBidi"/>
                <w:szCs w:val="24"/>
              </w:rPr>
              <w:t>The provision of sexual health services is one of the mandated public health functions that local authorities have</w:t>
            </w:r>
            <w:r w:rsidRPr="35283E35">
              <w:rPr>
                <w:rFonts w:asciiTheme="minorHAnsi" w:hAnsiTheme="minorHAnsi" w:cstheme="minorBidi"/>
                <w:szCs w:val="24"/>
                <w:vertAlign w:val="superscript"/>
              </w:rPr>
              <w:footnoteReference w:id="12"/>
            </w:r>
            <w:r w:rsidRPr="35283E35">
              <w:rPr>
                <w:rFonts w:asciiTheme="minorHAnsi" w:hAnsiTheme="minorHAnsi" w:cstheme="minorBidi"/>
                <w:szCs w:val="24"/>
              </w:rPr>
              <w:t>. This includes services for preventing the spread of sexually transmitted infections (STIs); treating, testing and caring for people with STIs and partner notification. Young people aged 24 and under experience the highest rates of sexually transmitted infections</w:t>
            </w:r>
            <w:r w:rsidR="00F87888" w:rsidRPr="35283E35">
              <w:rPr>
                <w:rFonts w:asciiTheme="minorHAnsi" w:hAnsiTheme="minorHAnsi" w:cstheme="minorBidi"/>
                <w:szCs w:val="24"/>
              </w:rPr>
              <w:t xml:space="preserve">, </w:t>
            </w:r>
            <w:r w:rsidR="00F87888" w:rsidRPr="35283E35">
              <w:rPr>
                <w:rFonts w:ascii="Calibri" w:hAnsi="Calibri" w:cs="Calibri"/>
                <w:szCs w:val="24"/>
              </w:rPr>
              <w:t>with the harmful effects occurring predominantly in women.</w:t>
            </w:r>
          </w:p>
          <w:p w14:paraId="345FAB90" w14:textId="77777777" w:rsidR="00F87888" w:rsidRPr="00F87888" w:rsidRDefault="00F87888" w:rsidP="35283E35">
            <w:pPr>
              <w:tabs>
                <w:tab w:val="left" w:pos="7740"/>
              </w:tabs>
              <w:rPr>
                <w:rFonts w:ascii="Calibri" w:hAnsi="Calibri" w:cs="Calibri"/>
                <w:szCs w:val="24"/>
              </w:rPr>
            </w:pPr>
          </w:p>
          <w:p w14:paraId="4CD3946B" w14:textId="77777777" w:rsidR="00A94110" w:rsidRDefault="00F87888" w:rsidP="35283E35">
            <w:pPr>
              <w:jc w:val="left"/>
              <w:rPr>
                <w:rFonts w:ascii="Calibri" w:hAnsi="Calibri" w:cs="Calibri"/>
                <w:szCs w:val="24"/>
              </w:rPr>
            </w:pPr>
            <w:r w:rsidRPr="35283E35">
              <w:rPr>
                <w:rFonts w:ascii="Calibri" w:hAnsi="Calibri" w:cs="Calibri"/>
                <w:szCs w:val="24"/>
              </w:rPr>
              <w:lastRenderedPageBreak/>
              <w:t xml:space="preserve">This service specification sets out the requirements for providing a self-sampling chlamydia and gonorrhoea test kit to young women aged 16 to 24 in general practices in </w:t>
            </w:r>
            <w:r w:rsidR="00A94110" w:rsidRPr="35283E35">
              <w:rPr>
                <w:rFonts w:ascii="Calibri" w:hAnsi="Calibri" w:cs="Calibri"/>
                <w:szCs w:val="24"/>
              </w:rPr>
              <w:t>North Somerset</w:t>
            </w:r>
            <w:r w:rsidRPr="35283E35">
              <w:rPr>
                <w:rFonts w:ascii="Calibri" w:hAnsi="Calibri" w:cs="Calibri"/>
                <w:szCs w:val="24"/>
              </w:rPr>
              <w:t xml:space="preserve"> (previously chlamydia screening programme</w:t>
            </w:r>
            <w:r w:rsidR="00A94110" w:rsidRPr="35283E35">
              <w:rPr>
                <w:rFonts w:ascii="Calibri" w:hAnsi="Calibri" w:cs="Calibri"/>
                <w:szCs w:val="24"/>
              </w:rPr>
              <w:t xml:space="preserve">). </w:t>
            </w:r>
          </w:p>
          <w:p w14:paraId="30F72165" w14:textId="77777777" w:rsidR="00A94110" w:rsidRDefault="00A94110" w:rsidP="35283E35">
            <w:pPr>
              <w:jc w:val="left"/>
              <w:rPr>
                <w:rFonts w:ascii="Calibri" w:hAnsi="Calibri" w:cs="Calibri"/>
                <w:szCs w:val="24"/>
              </w:rPr>
            </w:pPr>
          </w:p>
          <w:p w14:paraId="58510926" w14:textId="77777777" w:rsidR="00072B22" w:rsidRPr="00072B22" w:rsidRDefault="00072B22" w:rsidP="35283E35">
            <w:pPr>
              <w:suppressAutoHyphens w:val="0"/>
              <w:contextualSpacing/>
              <w:jc w:val="left"/>
              <w:rPr>
                <w:rFonts w:asciiTheme="minorHAnsi" w:hAnsiTheme="minorHAnsi" w:cstheme="minorBidi"/>
                <w:szCs w:val="24"/>
              </w:rPr>
            </w:pPr>
            <w:r w:rsidRPr="35283E35">
              <w:rPr>
                <w:rFonts w:asciiTheme="minorHAnsi" w:hAnsiTheme="minorHAnsi" w:cstheme="minorBidi"/>
                <w:szCs w:val="24"/>
              </w:rPr>
              <w:t>Investing in sexual health services can deliver cost savings for the NHS and local authority services such as social care and education, e.g. through preventing unintended conceptions (and the costs associated with maternity and abortion services) and reducing the incidence of sexually transmitted infections including HIV.</w:t>
            </w:r>
          </w:p>
          <w:p w14:paraId="37D8E33A" w14:textId="77777777" w:rsidR="00072B22" w:rsidRPr="00072B22" w:rsidRDefault="00072B22" w:rsidP="35283E35">
            <w:pPr>
              <w:suppressAutoHyphens w:val="0"/>
              <w:contextualSpacing/>
              <w:jc w:val="left"/>
              <w:rPr>
                <w:rFonts w:asciiTheme="minorHAnsi" w:hAnsiTheme="minorHAnsi" w:cstheme="minorBidi"/>
                <w:szCs w:val="24"/>
              </w:rPr>
            </w:pPr>
          </w:p>
          <w:p w14:paraId="1691FB8B" w14:textId="451BD3D9" w:rsidR="00072B22" w:rsidRPr="00072B22" w:rsidRDefault="00072B22" w:rsidP="35283E35">
            <w:pPr>
              <w:suppressAutoHyphens w:val="0"/>
              <w:contextualSpacing/>
              <w:jc w:val="left"/>
              <w:rPr>
                <w:rFonts w:asciiTheme="minorHAnsi" w:hAnsiTheme="minorHAnsi" w:cstheme="minorBidi"/>
                <w:szCs w:val="24"/>
              </w:rPr>
            </w:pPr>
            <w:r w:rsidRPr="35283E35">
              <w:rPr>
                <w:rFonts w:asciiTheme="minorHAnsi" w:hAnsiTheme="minorHAnsi" w:cstheme="minorBidi"/>
                <w:b/>
                <w:bCs/>
                <w:color w:val="339966"/>
                <w:szCs w:val="24"/>
              </w:rPr>
              <w:t xml:space="preserve">1.2 National/local context </w:t>
            </w:r>
            <w:r w:rsidRPr="35283E35">
              <w:rPr>
                <w:rFonts w:asciiTheme="minorHAnsi" w:eastAsia="Calibri" w:hAnsiTheme="minorHAnsi" w:cstheme="minorBidi"/>
                <w:szCs w:val="24"/>
                <w:vertAlign w:val="superscript"/>
              </w:rPr>
              <w:footnoteReference w:id="13"/>
            </w:r>
            <w:r w:rsidRPr="35283E35">
              <w:rPr>
                <w:rFonts w:asciiTheme="minorHAnsi" w:hAnsiTheme="minorHAnsi" w:cstheme="minorBidi"/>
                <w:szCs w:val="24"/>
                <w:vertAlign w:val="superscript"/>
                <w:lang w:eastAsia="en-GB"/>
              </w:rPr>
              <w:t>,</w:t>
            </w:r>
          </w:p>
          <w:p w14:paraId="44D9855E" w14:textId="013575B4" w:rsidR="00A94110" w:rsidRDefault="00A94110" w:rsidP="35283E35">
            <w:pPr>
              <w:suppressAutoHyphens w:val="0"/>
              <w:contextualSpacing/>
              <w:jc w:val="left"/>
              <w:rPr>
                <w:rFonts w:asciiTheme="minorHAnsi" w:hAnsiTheme="minorHAnsi" w:cstheme="minorBidi"/>
                <w:szCs w:val="24"/>
              </w:rPr>
            </w:pPr>
            <w:r w:rsidRPr="35283E35">
              <w:rPr>
                <w:rFonts w:asciiTheme="minorHAnsi" w:hAnsiTheme="minorHAnsi" w:cstheme="minorBidi"/>
                <w:szCs w:val="24"/>
              </w:rPr>
              <w:t xml:space="preserve">Overall, the number of </w:t>
            </w:r>
            <w:r w:rsidRPr="35283E35">
              <w:rPr>
                <w:rFonts w:asciiTheme="minorHAnsi" w:hAnsiTheme="minorHAnsi" w:cstheme="minorBidi"/>
                <w:b/>
                <w:bCs/>
                <w:szCs w:val="24"/>
              </w:rPr>
              <w:t>new STIs diagnosed</w:t>
            </w:r>
            <w:r w:rsidRPr="35283E35">
              <w:rPr>
                <w:rFonts w:asciiTheme="minorHAnsi" w:hAnsiTheme="minorHAnsi" w:cstheme="minorBidi"/>
                <w:szCs w:val="24"/>
              </w:rPr>
              <w:t xml:space="preserve"> among residents of North Somerset in 2023 was 767. Compared to 700 in 2022. The rate was 350 per 100,000 residents, lower than the rate of 704 per 100,000 in England, and lower than the average of 423 per 100,000 among its </w:t>
            </w:r>
            <w:hyperlink r:id="rId36">
              <w:r w:rsidRPr="35283E35">
                <w:rPr>
                  <w:rStyle w:val="Hyperlink"/>
                  <w:rFonts w:asciiTheme="minorHAnsi" w:hAnsiTheme="minorHAnsi" w:cstheme="minorBidi"/>
                  <w:szCs w:val="24"/>
                </w:rPr>
                <w:t>nearest neighbours</w:t>
              </w:r>
            </w:hyperlink>
            <w:r w:rsidRPr="35283E35">
              <w:rPr>
                <w:rFonts w:asciiTheme="minorHAnsi" w:hAnsiTheme="minorHAnsi" w:cstheme="minorBidi"/>
                <w:szCs w:val="24"/>
              </w:rPr>
              <w:t>.</w:t>
            </w:r>
          </w:p>
          <w:p w14:paraId="2DC4BC1D" w14:textId="77777777" w:rsidR="00A94110" w:rsidRPr="00A94110" w:rsidRDefault="00A94110" w:rsidP="35283E35">
            <w:pPr>
              <w:suppressAutoHyphens w:val="0"/>
              <w:contextualSpacing/>
              <w:jc w:val="left"/>
              <w:rPr>
                <w:rFonts w:asciiTheme="minorHAnsi" w:hAnsiTheme="minorHAnsi" w:cstheme="minorBidi"/>
                <w:szCs w:val="24"/>
              </w:rPr>
            </w:pPr>
          </w:p>
          <w:p w14:paraId="0EDBAD75" w14:textId="5905DAA6" w:rsidR="00A94110" w:rsidRPr="00A94110" w:rsidRDefault="00A94110" w:rsidP="35283E35">
            <w:pPr>
              <w:numPr>
                <w:ilvl w:val="0"/>
                <w:numId w:val="30"/>
              </w:numPr>
              <w:shd w:val="clear" w:color="auto" w:fill="FFFFFF" w:themeFill="background1"/>
              <w:suppressAutoHyphens w:val="0"/>
              <w:spacing w:before="113" w:after="113"/>
              <w:jc w:val="left"/>
              <w:rPr>
                <w:rFonts w:asciiTheme="minorHAnsi" w:hAnsiTheme="minorHAnsi" w:cstheme="minorBidi"/>
                <w:color w:val="000000"/>
                <w:szCs w:val="24"/>
                <w:lang w:val="en-US"/>
              </w:rPr>
            </w:pPr>
            <w:r w:rsidRPr="35283E35">
              <w:rPr>
                <w:rFonts w:ascii="Calibri" w:hAnsi="Calibri" w:cs="Calibri"/>
                <w:color w:val="222222"/>
                <w:szCs w:val="24"/>
                <w:lang w:eastAsia="en-GB"/>
              </w:rPr>
              <w:t>The </w:t>
            </w:r>
            <w:r w:rsidRPr="35283E35">
              <w:rPr>
                <w:rFonts w:ascii="Calibri" w:hAnsi="Calibri" w:cs="Calibri"/>
                <w:b/>
                <w:bCs/>
                <w:color w:val="222222"/>
                <w:szCs w:val="24"/>
                <w:lang w:eastAsia="en-GB"/>
              </w:rPr>
              <w:t>chlamydia detection rate</w:t>
            </w:r>
            <w:r w:rsidRPr="35283E35">
              <w:rPr>
                <w:rFonts w:ascii="Calibri" w:hAnsi="Calibri" w:cs="Calibri"/>
                <w:color w:val="222222"/>
                <w:szCs w:val="24"/>
                <w:lang w:eastAsia="en-GB"/>
              </w:rPr>
              <w:t> per 100,000 females aged 15 to 24 years in North Somerset was 1,573 in 2023 (1,400 in 2022) compared to the rate of 1,962 for England.</w:t>
            </w:r>
          </w:p>
          <w:p w14:paraId="1C927C0D" w14:textId="77777777" w:rsidR="00A94110" w:rsidRPr="00A94110" w:rsidRDefault="00A94110" w:rsidP="35283E35">
            <w:pPr>
              <w:numPr>
                <w:ilvl w:val="0"/>
                <w:numId w:val="30"/>
              </w:numPr>
              <w:shd w:val="clear" w:color="auto" w:fill="FFFFFF" w:themeFill="background1"/>
              <w:suppressAutoHyphens w:val="0"/>
              <w:spacing w:before="113" w:after="113"/>
              <w:jc w:val="left"/>
              <w:rPr>
                <w:rFonts w:ascii="Calibri" w:hAnsi="Calibri" w:cs="Calibri"/>
                <w:color w:val="222222"/>
                <w:szCs w:val="24"/>
                <w:lang w:eastAsia="en-GB"/>
              </w:rPr>
            </w:pPr>
            <w:r w:rsidRPr="35283E35">
              <w:rPr>
                <w:rFonts w:ascii="Calibri" w:hAnsi="Calibri" w:cs="Calibri"/>
                <w:color w:val="222222"/>
                <w:szCs w:val="24"/>
                <w:lang w:eastAsia="en-GB"/>
              </w:rPr>
              <w:t>The rank for </w:t>
            </w:r>
            <w:r w:rsidRPr="35283E35">
              <w:rPr>
                <w:rFonts w:ascii="Calibri" w:hAnsi="Calibri" w:cs="Calibri"/>
                <w:b/>
                <w:bCs/>
                <w:color w:val="222222"/>
                <w:szCs w:val="24"/>
                <w:lang w:eastAsia="en-GB"/>
              </w:rPr>
              <w:t>gonorrhoea diagnoses</w:t>
            </w:r>
            <w:r w:rsidRPr="35283E35">
              <w:rPr>
                <w:rFonts w:ascii="Calibri" w:hAnsi="Calibri" w:cs="Calibri"/>
                <w:color w:val="222222"/>
                <w:szCs w:val="24"/>
                <w:lang w:eastAsia="en-GB"/>
              </w:rPr>
              <w:t> (which can be used as an indicator of local burden of STIs in general) in North Somerset was 140th highest (out of 151 UTLAs/UAs) in 2023. The rate per 100,000 was 50.7, better than the rate of 149 in England.</w:t>
            </w:r>
          </w:p>
          <w:p w14:paraId="4DCBBADF" w14:textId="216F0F29" w:rsidR="00072B22" w:rsidRPr="00072B22" w:rsidRDefault="00072B22" w:rsidP="35283E35">
            <w:pPr>
              <w:shd w:val="clear" w:color="auto" w:fill="FFFFFF" w:themeFill="background1"/>
              <w:suppressAutoHyphens w:val="0"/>
              <w:ind w:left="720"/>
              <w:jc w:val="left"/>
              <w:rPr>
                <w:rFonts w:asciiTheme="minorHAnsi" w:hAnsiTheme="minorHAnsi" w:cstheme="minorBidi"/>
                <w:szCs w:val="24"/>
              </w:rPr>
            </w:pPr>
          </w:p>
        </w:tc>
      </w:tr>
      <w:tr w:rsidR="00072B22" w:rsidRPr="00072B22" w14:paraId="6153B709"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017" w:type="dxa"/>
            <w:gridSpan w:val="2"/>
            <w:tcBorders>
              <w:top w:val="single" w:sz="4" w:space="0" w:color="999999"/>
              <w:left w:val="single" w:sz="4" w:space="0" w:color="999999"/>
              <w:bottom w:val="single" w:sz="4" w:space="0" w:color="999999"/>
              <w:right w:val="single" w:sz="4" w:space="0" w:color="999999"/>
            </w:tcBorders>
            <w:shd w:val="clear" w:color="auto" w:fill="666666"/>
            <w:vAlign w:val="center"/>
          </w:tcPr>
          <w:p w14:paraId="59C261BB" w14:textId="3DBFCE6A" w:rsidR="5160D0DF" w:rsidRDefault="5160D0DF" w:rsidP="5160D0DF">
            <w:pPr>
              <w:keepNext/>
              <w:jc w:val="left"/>
              <w:rPr>
                <w:rFonts w:asciiTheme="minorHAnsi" w:eastAsia="MS ??" w:hAnsiTheme="minorHAnsi" w:cstheme="minorBidi"/>
                <w:color w:val="FFC000" w:themeColor="accent4"/>
              </w:rPr>
            </w:pPr>
          </w:p>
          <w:p w14:paraId="68E2D15A" w14:textId="68F5E05F" w:rsidR="00072B22" w:rsidRPr="00072B22" w:rsidRDefault="414EED77" w:rsidP="5160D0DF">
            <w:pPr>
              <w:keepNext/>
              <w:suppressAutoHyphens w:val="0"/>
              <w:jc w:val="left"/>
              <w:rPr>
                <w:rFonts w:asciiTheme="minorHAnsi" w:eastAsia="MS ??" w:hAnsiTheme="minorHAnsi" w:cstheme="minorBidi"/>
                <w:b/>
                <w:bCs/>
                <w:color w:val="FFC000" w:themeColor="accent4"/>
              </w:rPr>
            </w:pPr>
            <w:r w:rsidRPr="5160D0DF">
              <w:rPr>
                <w:rFonts w:asciiTheme="minorHAnsi" w:eastAsia="MS ??" w:hAnsiTheme="minorHAnsi" w:cstheme="minorBidi"/>
                <w:b/>
                <w:bCs/>
                <w:color w:val="FFC000" w:themeColor="accent4"/>
              </w:rPr>
              <w:t>2. Aims and Service De</w:t>
            </w:r>
            <w:r w:rsidR="745D16E5" w:rsidRPr="5160D0DF">
              <w:rPr>
                <w:rFonts w:asciiTheme="minorHAnsi" w:eastAsia="MS ??" w:hAnsiTheme="minorHAnsi" w:cstheme="minorBidi"/>
                <w:b/>
                <w:bCs/>
                <w:color w:val="FFC000" w:themeColor="accent4"/>
              </w:rPr>
              <w:t>livery</w:t>
            </w:r>
          </w:p>
          <w:p w14:paraId="1BA34326" w14:textId="2F95F104" w:rsidR="00072B22" w:rsidRPr="00072B22" w:rsidRDefault="00072B22" w:rsidP="5160D0DF">
            <w:pPr>
              <w:keepNext/>
              <w:suppressAutoHyphens w:val="0"/>
              <w:jc w:val="left"/>
              <w:rPr>
                <w:rFonts w:asciiTheme="minorHAnsi" w:eastAsia="MS ??" w:hAnsiTheme="minorHAnsi" w:cstheme="minorBidi"/>
                <w:color w:val="FFC000" w:themeColor="accent4"/>
              </w:rPr>
            </w:pPr>
          </w:p>
        </w:tc>
      </w:tr>
      <w:tr w:rsidR="00072B22" w:rsidRPr="00072B22" w14:paraId="345F6909"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3"/>
        </w:trPr>
        <w:tc>
          <w:tcPr>
            <w:tcW w:w="9017" w:type="dxa"/>
            <w:gridSpan w:val="2"/>
            <w:tcBorders>
              <w:top w:val="single" w:sz="4" w:space="0" w:color="999999"/>
              <w:left w:val="single" w:sz="4" w:space="0" w:color="999999"/>
              <w:bottom w:val="single" w:sz="4" w:space="0" w:color="999999"/>
              <w:right w:val="single" w:sz="4" w:space="0" w:color="999999"/>
            </w:tcBorders>
          </w:tcPr>
          <w:p w14:paraId="63A1B0E1" w14:textId="77777777" w:rsidR="00072B22" w:rsidRPr="00072B22" w:rsidRDefault="00072B22"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2.1 Aims</w:t>
            </w:r>
          </w:p>
          <w:p w14:paraId="5038D625" w14:textId="77777777" w:rsidR="00A94110" w:rsidRPr="00A94110" w:rsidRDefault="00A94110" w:rsidP="35283E35">
            <w:pPr>
              <w:rPr>
                <w:rFonts w:ascii="Calibri" w:hAnsi="Calibri" w:cs="Calibri"/>
                <w:szCs w:val="24"/>
              </w:rPr>
            </w:pPr>
            <w:r w:rsidRPr="35283E35">
              <w:rPr>
                <w:rFonts w:ascii="Calibri" w:hAnsi="Calibri" w:cs="Calibri"/>
                <w:szCs w:val="24"/>
              </w:rPr>
              <w:t>The overall aims of this service are to:</w:t>
            </w:r>
          </w:p>
          <w:p w14:paraId="2F7C1EA3" w14:textId="77777777" w:rsidR="00A94110" w:rsidRPr="00A94110" w:rsidRDefault="00A94110" w:rsidP="35283E35">
            <w:pPr>
              <w:pStyle w:val="ListParagraph"/>
              <w:numPr>
                <w:ilvl w:val="0"/>
                <w:numId w:val="31"/>
              </w:numPr>
              <w:spacing w:after="0" w:line="240" w:lineRule="auto"/>
              <w:rPr>
                <w:rFonts w:ascii="Calibri" w:hAnsi="Calibri" w:cs="Calibri"/>
                <w:sz w:val="24"/>
                <w:szCs w:val="24"/>
              </w:rPr>
            </w:pPr>
            <w:r w:rsidRPr="35283E35">
              <w:rPr>
                <w:rFonts w:ascii="Calibri" w:hAnsi="Calibri" w:cs="Calibri"/>
                <w:sz w:val="24"/>
                <w:szCs w:val="24"/>
              </w:rPr>
              <w:t>Increase access to asymptomatic screening of chlamydia and gonorrhoea in women aged 16 to 24.</w:t>
            </w:r>
          </w:p>
          <w:p w14:paraId="47B01AD9" w14:textId="77777777" w:rsidR="00A94110" w:rsidRPr="00A94110" w:rsidRDefault="00A94110" w:rsidP="35283E35">
            <w:pPr>
              <w:pStyle w:val="ListParagraph"/>
              <w:numPr>
                <w:ilvl w:val="0"/>
                <w:numId w:val="31"/>
              </w:numPr>
              <w:spacing w:after="0" w:line="240" w:lineRule="auto"/>
              <w:rPr>
                <w:rFonts w:ascii="Calibri" w:hAnsi="Calibri" w:cs="Calibri"/>
                <w:sz w:val="24"/>
                <w:szCs w:val="24"/>
              </w:rPr>
            </w:pPr>
            <w:r w:rsidRPr="35283E35">
              <w:rPr>
                <w:rFonts w:ascii="Calibri" w:hAnsi="Calibri" w:cs="Calibri"/>
                <w:sz w:val="24"/>
                <w:szCs w:val="24"/>
              </w:rPr>
              <w:t>Reduce the incidence of long-term health complications associated with untreated chlamydia and gonorrhoea in women.</w:t>
            </w:r>
          </w:p>
          <w:p w14:paraId="4A02C32F" w14:textId="77777777" w:rsidR="00A94110" w:rsidRPr="00A94110" w:rsidRDefault="00A94110" w:rsidP="35283E35">
            <w:pPr>
              <w:pStyle w:val="ListParagraph"/>
              <w:numPr>
                <w:ilvl w:val="0"/>
                <w:numId w:val="31"/>
              </w:numPr>
              <w:spacing w:after="0" w:line="240" w:lineRule="auto"/>
              <w:rPr>
                <w:rFonts w:ascii="Calibri" w:hAnsi="Calibri" w:cs="Calibri"/>
                <w:sz w:val="24"/>
                <w:szCs w:val="24"/>
              </w:rPr>
            </w:pPr>
            <w:r w:rsidRPr="35283E35">
              <w:rPr>
                <w:rFonts w:ascii="Calibri" w:hAnsi="Calibri" w:cs="Calibri"/>
                <w:sz w:val="24"/>
                <w:szCs w:val="24"/>
              </w:rPr>
              <w:t>Improving knowledge and understanding of the risks associated with unprotected sex through the provision of information, advice and guidance.</w:t>
            </w:r>
          </w:p>
          <w:p w14:paraId="6706BF6F" w14:textId="77777777" w:rsidR="00A94110" w:rsidRPr="00A94110" w:rsidRDefault="00A94110" w:rsidP="35283E35">
            <w:pPr>
              <w:pStyle w:val="ListParagraph"/>
              <w:numPr>
                <w:ilvl w:val="0"/>
                <w:numId w:val="31"/>
              </w:numPr>
              <w:spacing w:after="0" w:line="240" w:lineRule="auto"/>
              <w:rPr>
                <w:rFonts w:ascii="Calibri" w:hAnsi="Calibri" w:cs="Calibri"/>
                <w:sz w:val="24"/>
                <w:szCs w:val="24"/>
              </w:rPr>
            </w:pPr>
            <w:r w:rsidRPr="35283E35">
              <w:rPr>
                <w:rFonts w:ascii="Calibri" w:hAnsi="Calibri" w:cs="Calibri"/>
                <w:sz w:val="24"/>
                <w:szCs w:val="24"/>
              </w:rPr>
              <w:t>Increasing the uptake of sexual health screening through awareness raising and referral / signposting to STI testing and treatment services.</w:t>
            </w:r>
          </w:p>
          <w:p w14:paraId="5B290886" w14:textId="77777777" w:rsidR="00A94110" w:rsidRDefault="00A94110" w:rsidP="35283E35">
            <w:pPr>
              <w:jc w:val="left"/>
              <w:rPr>
                <w:rFonts w:asciiTheme="minorHAnsi" w:hAnsiTheme="minorHAnsi" w:cstheme="minorBidi"/>
                <w:szCs w:val="24"/>
              </w:rPr>
            </w:pPr>
          </w:p>
          <w:p w14:paraId="637719A6" w14:textId="77777777" w:rsidR="00072B22" w:rsidRPr="00072B22" w:rsidRDefault="00072B22" w:rsidP="35283E35">
            <w:pPr>
              <w:suppressAutoHyphens w:val="0"/>
              <w:jc w:val="left"/>
              <w:rPr>
                <w:rFonts w:asciiTheme="minorHAnsi" w:eastAsia="Calibri" w:hAnsiTheme="minorHAnsi" w:cstheme="minorBidi"/>
                <w:b/>
                <w:bCs/>
                <w:color w:val="339966"/>
                <w:szCs w:val="24"/>
              </w:rPr>
            </w:pPr>
            <w:r w:rsidRPr="35283E35">
              <w:rPr>
                <w:rFonts w:asciiTheme="minorHAnsi" w:eastAsia="Calibri" w:hAnsiTheme="minorHAnsi" w:cstheme="minorBidi"/>
                <w:b/>
                <w:bCs/>
                <w:color w:val="339966"/>
                <w:szCs w:val="24"/>
              </w:rPr>
              <w:t xml:space="preserve">2.2 Key service outcomes </w:t>
            </w:r>
          </w:p>
          <w:p w14:paraId="64714716" w14:textId="3180D9E7" w:rsidR="00A94110" w:rsidRPr="001E4971" w:rsidRDefault="00A94110" w:rsidP="35283E35">
            <w:pPr>
              <w:pStyle w:val="ListParagraph"/>
              <w:numPr>
                <w:ilvl w:val="0"/>
                <w:numId w:val="31"/>
              </w:numPr>
              <w:tabs>
                <w:tab w:val="left" w:pos="1080"/>
              </w:tabs>
              <w:spacing w:after="0" w:line="240" w:lineRule="auto"/>
              <w:rPr>
                <w:rFonts w:ascii="Calibri" w:hAnsi="Calibri" w:cs="Calibri"/>
                <w:color w:val="000000" w:themeColor="text1"/>
                <w:sz w:val="24"/>
                <w:szCs w:val="24"/>
              </w:rPr>
            </w:pPr>
            <w:r w:rsidRPr="0F19186E">
              <w:rPr>
                <w:rFonts w:ascii="Calibri" w:hAnsi="Calibri" w:cs="Calibri"/>
                <w:color w:val="000000" w:themeColor="text1"/>
                <w:sz w:val="24"/>
                <w:szCs w:val="24"/>
              </w:rPr>
              <w:t>Reduction</w:t>
            </w:r>
            <w:r w:rsidR="11CBB6CF" w:rsidRPr="0F19186E">
              <w:rPr>
                <w:rFonts w:ascii="Calibri" w:hAnsi="Calibri" w:cs="Calibri"/>
                <w:color w:val="000000" w:themeColor="text1"/>
                <w:sz w:val="24"/>
                <w:szCs w:val="24"/>
              </w:rPr>
              <w:t xml:space="preserve"> in</w:t>
            </w:r>
            <w:r w:rsidRPr="0F19186E">
              <w:rPr>
                <w:rFonts w:ascii="Calibri" w:hAnsi="Calibri" w:cs="Calibri"/>
                <w:color w:val="000000" w:themeColor="text1"/>
                <w:sz w:val="24"/>
                <w:szCs w:val="24"/>
              </w:rPr>
              <w:t xml:space="preserve"> the prevalence of sexually transmitted infections (STI) </w:t>
            </w:r>
          </w:p>
          <w:p w14:paraId="5078E825" w14:textId="36BDEC09" w:rsidR="00A94110" w:rsidRPr="00166745" w:rsidRDefault="00A94110" w:rsidP="35283E35">
            <w:pPr>
              <w:pStyle w:val="ListParagraph"/>
              <w:numPr>
                <w:ilvl w:val="0"/>
                <w:numId w:val="31"/>
              </w:numPr>
              <w:spacing w:after="0" w:line="240" w:lineRule="auto"/>
              <w:rPr>
                <w:rFonts w:ascii="Calibri" w:hAnsi="Calibri" w:cs="Calibri"/>
                <w:b/>
                <w:bCs/>
                <w:sz w:val="24"/>
                <w:szCs w:val="24"/>
              </w:rPr>
            </w:pPr>
            <w:r w:rsidRPr="35283E35">
              <w:rPr>
                <w:rFonts w:ascii="Calibri" w:hAnsi="Calibri" w:cs="Calibri"/>
                <w:color w:val="000000" w:themeColor="text1"/>
                <w:sz w:val="24"/>
                <w:szCs w:val="24"/>
              </w:rPr>
              <w:t>Reduction of onward transmission of chlamydia and gonorrhoea within the population.</w:t>
            </w:r>
          </w:p>
          <w:p w14:paraId="68C105A9" w14:textId="4F542BCB" w:rsidR="00A94110" w:rsidRPr="001E4971" w:rsidRDefault="00A94110" w:rsidP="35283E35">
            <w:pPr>
              <w:pStyle w:val="ListParagraph"/>
              <w:numPr>
                <w:ilvl w:val="0"/>
                <w:numId w:val="31"/>
              </w:numPr>
              <w:tabs>
                <w:tab w:val="left" w:pos="1080"/>
              </w:tabs>
              <w:spacing w:after="0" w:line="240" w:lineRule="auto"/>
              <w:rPr>
                <w:rFonts w:ascii="Calibri" w:hAnsi="Calibri" w:cs="Calibri"/>
                <w:color w:val="000000" w:themeColor="text1"/>
                <w:sz w:val="24"/>
                <w:szCs w:val="24"/>
              </w:rPr>
            </w:pPr>
            <w:r w:rsidRPr="35283E35">
              <w:rPr>
                <w:rFonts w:ascii="Calibri" w:hAnsi="Calibri" w:cs="Calibri"/>
                <w:color w:val="000000" w:themeColor="text1"/>
                <w:sz w:val="24"/>
                <w:szCs w:val="24"/>
              </w:rPr>
              <w:t>Improve sexual and reproductive health outcomes.</w:t>
            </w:r>
          </w:p>
          <w:p w14:paraId="4E34F7BA" w14:textId="77777777" w:rsidR="00072B22" w:rsidRPr="00072B22" w:rsidRDefault="00072B22" w:rsidP="35283E35">
            <w:pPr>
              <w:jc w:val="left"/>
              <w:rPr>
                <w:rFonts w:asciiTheme="minorHAnsi" w:hAnsiTheme="minorHAnsi" w:cstheme="minorBidi"/>
                <w:szCs w:val="24"/>
              </w:rPr>
            </w:pPr>
          </w:p>
          <w:p w14:paraId="61108471" w14:textId="77777777" w:rsidR="00072B22" w:rsidRPr="00072B22" w:rsidRDefault="00072B22"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lastRenderedPageBreak/>
              <w:t>2.3 Service description/pathway</w:t>
            </w:r>
          </w:p>
          <w:p w14:paraId="0A711C1D" w14:textId="3B29A6C8" w:rsidR="00420092" w:rsidRPr="00420092" w:rsidRDefault="00420092" w:rsidP="35283E35">
            <w:pPr>
              <w:rPr>
                <w:rFonts w:ascii="Calibri" w:hAnsi="Calibri" w:cs="Calibri"/>
                <w:szCs w:val="24"/>
              </w:rPr>
            </w:pPr>
            <w:r w:rsidRPr="35283E35">
              <w:rPr>
                <w:rFonts w:ascii="Calibri" w:hAnsi="Calibri" w:cs="Calibri"/>
                <w:szCs w:val="24"/>
              </w:rPr>
              <w:t>General Practices in North Somerset providing this service will:</w:t>
            </w:r>
          </w:p>
          <w:p w14:paraId="30503324" w14:textId="77777777" w:rsidR="00420092" w:rsidRPr="001E4971" w:rsidRDefault="00420092" w:rsidP="35283E35">
            <w:pPr>
              <w:pStyle w:val="ListParagraph"/>
              <w:keepNext/>
              <w:numPr>
                <w:ilvl w:val="0"/>
                <w:numId w:val="41"/>
              </w:numPr>
              <w:spacing w:after="0" w:line="240" w:lineRule="auto"/>
              <w:rPr>
                <w:rFonts w:ascii="Calibri" w:hAnsi="Calibri" w:cs="Calibri"/>
                <w:sz w:val="24"/>
                <w:szCs w:val="24"/>
              </w:rPr>
            </w:pPr>
            <w:r w:rsidRPr="35283E35">
              <w:rPr>
                <w:rFonts w:ascii="Calibri" w:eastAsiaTheme="minorEastAsia" w:hAnsi="Calibri" w:cs="Calibri"/>
                <w:sz w:val="24"/>
                <w:szCs w:val="24"/>
              </w:rPr>
              <w:t>Promote and offer chlamydia and gonorrhoea self-sampling test kits to women aged under 25, part</w:t>
            </w:r>
            <w:r w:rsidRPr="35283E35">
              <w:rPr>
                <w:rFonts w:ascii="Calibri" w:hAnsi="Calibri" w:cs="Calibri"/>
                <w:sz w:val="24"/>
                <w:szCs w:val="24"/>
              </w:rPr>
              <w:t>icularly those attending for sexual health advice/services.</w:t>
            </w:r>
          </w:p>
          <w:p w14:paraId="0FC6C52C" w14:textId="77777777" w:rsidR="00420092" w:rsidRPr="001E4971" w:rsidRDefault="00420092" w:rsidP="35283E35">
            <w:pPr>
              <w:pStyle w:val="ListParagraph"/>
              <w:numPr>
                <w:ilvl w:val="0"/>
                <w:numId w:val="41"/>
              </w:numPr>
              <w:suppressAutoHyphens/>
              <w:spacing w:after="0" w:line="240" w:lineRule="auto"/>
              <w:rPr>
                <w:rFonts w:ascii="Calibri" w:hAnsi="Calibri" w:cs="Calibri"/>
                <w:b/>
                <w:bCs/>
                <w:color w:val="339966"/>
                <w:sz w:val="24"/>
                <w:szCs w:val="24"/>
                <w:u w:val="single"/>
              </w:rPr>
            </w:pPr>
            <w:r w:rsidRPr="35283E35">
              <w:rPr>
                <w:rFonts w:ascii="Calibri" w:hAnsi="Calibri" w:cs="Calibri"/>
                <w:sz w:val="24"/>
                <w:szCs w:val="24"/>
              </w:rPr>
              <w:t>Emphasise that sexual health is everyone’s responsibility, not just that of young women.</w:t>
            </w:r>
          </w:p>
          <w:p w14:paraId="5786DB56" w14:textId="77777777" w:rsidR="00420092" w:rsidRPr="001E4971" w:rsidRDefault="00420092" w:rsidP="35283E35">
            <w:pPr>
              <w:pStyle w:val="ListParagraph"/>
              <w:numPr>
                <w:ilvl w:val="0"/>
                <w:numId w:val="41"/>
              </w:numPr>
              <w:suppressAutoHyphens/>
              <w:spacing w:after="0" w:line="240" w:lineRule="auto"/>
              <w:rPr>
                <w:rFonts w:ascii="Calibri" w:hAnsi="Calibri" w:cs="Calibri"/>
                <w:b/>
                <w:bCs/>
                <w:color w:val="339966"/>
                <w:sz w:val="24"/>
                <w:szCs w:val="24"/>
                <w:u w:val="single"/>
              </w:rPr>
            </w:pPr>
            <w:r w:rsidRPr="35283E35">
              <w:rPr>
                <w:rFonts w:ascii="Calibri" w:hAnsi="Calibri" w:cs="Calibri"/>
                <w:sz w:val="24"/>
                <w:szCs w:val="24"/>
              </w:rPr>
              <w:t xml:space="preserve"> Provide the service in compliance with all safeguarding protocols (see section 3.1)</w:t>
            </w:r>
          </w:p>
          <w:p w14:paraId="6B994E7A" w14:textId="77777777" w:rsidR="00420092" w:rsidRPr="001E4971" w:rsidRDefault="00420092" w:rsidP="35283E35">
            <w:pPr>
              <w:rPr>
                <w:rFonts w:ascii="Calibri" w:hAnsi="Calibri" w:cs="Calibri"/>
                <w:b/>
                <w:bCs/>
                <w:szCs w:val="24"/>
              </w:rPr>
            </w:pPr>
          </w:p>
          <w:p w14:paraId="73D50703" w14:textId="7136002F" w:rsidR="00420092" w:rsidRPr="00420092" w:rsidRDefault="00420092" w:rsidP="35283E35">
            <w:pPr>
              <w:pStyle w:val="Heading3"/>
            </w:pPr>
            <w:r w:rsidRPr="35283E35">
              <w:t>2.3.1 Chlamydia and gonorrhoea self-sampling test kit distribution</w:t>
            </w:r>
          </w:p>
          <w:p w14:paraId="26C8FF12" w14:textId="2DDA54E5" w:rsidR="00E67013" w:rsidRPr="00B05868" w:rsidRDefault="00A86222" w:rsidP="35283E35">
            <w:pPr>
              <w:pStyle w:val="ListParagraph"/>
              <w:numPr>
                <w:ilvl w:val="0"/>
                <w:numId w:val="41"/>
              </w:numPr>
              <w:suppressAutoHyphens/>
              <w:spacing w:after="0" w:line="240" w:lineRule="auto"/>
              <w:rPr>
                <w:rFonts w:ascii="Calibri" w:hAnsi="Calibri" w:cs="Calibri"/>
                <w:color w:val="000000" w:themeColor="text1"/>
                <w:sz w:val="24"/>
                <w:szCs w:val="24"/>
              </w:rPr>
            </w:pPr>
            <w:r w:rsidRPr="00A86222">
              <w:rPr>
                <w:rFonts w:ascii="Calibri" w:hAnsi="Calibri" w:cs="Calibri"/>
                <w:color w:val="000000" w:themeColor="text1"/>
                <w:sz w:val="24"/>
                <w:szCs w:val="24"/>
              </w:rPr>
              <w:t xml:space="preserve">Women aged 16–24 </w:t>
            </w:r>
            <w:r w:rsidR="002E75B7">
              <w:rPr>
                <w:rFonts w:ascii="Calibri" w:hAnsi="Calibri" w:cs="Calibri"/>
                <w:color w:val="000000" w:themeColor="text1"/>
                <w:sz w:val="24"/>
                <w:szCs w:val="24"/>
              </w:rPr>
              <w:t xml:space="preserve">living in North Somerset </w:t>
            </w:r>
            <w:r w:rsidRPr="00A86222">
              <w:rPr>
                <w:rFonts w:ascii="Calibri" w:hAnsi="Calibri" w:cs="Calibri"/>
                <w:color w:val="000000" w:themeColor="text1"/>
                <w:sz w:val="24"/>
                <w:szCs w:val="24"/>
              </w:rPr>
              <w:t xml:space="preserve">should be encouraged to order a chlamydia/gonorrhoea self-sampling kit online via the GP practice's unique Yuno QR code. Kits ordered and returned via this QR code will be traceable to the </w:t>
            </w:r>
            <w:r w:rsidRPr="00B05868">
              <w:rPr>
                <w:rFonts w:ascii="Calibri" w:hAnsi="Calibri" w:cs="Calibri"/>
                <w:color w:val="000000" w:themeColor="text1"/>
                <w:sz w:val="24"/>
                <w:szCs w:val="24"/>
              </w:rPr>
              <w:t>practice and qualify for payment.</w:t>
            </w:r>
          </w:p>
          <w:p w14:paraId="3988EF5B" w14:textId="723FC433" w:rsidR="00B05868" w:rsidRPr="00B05868" w:rsidRDefault="00B05868" w:rsidP="00B05868">
            <w:pPr>
              <w:pStyle w:val="ListParagraph"/>
              <w:numPr>
                <w:ilvl w:val="0"/>
                <w:numId w:val="41"/>
              </w:numPr>
              <w:suppressAutoHyphens/>
              <w:spacing w:after="0"/>
              <w:rPr>
                <w:rFonts w:ascii="Calibri" w:hAnsi="Calibri" w:cs="Calibri"/>
                <w:color w:val="000000" w:themeColor="text1"/>
                <w:sz w:val="24"/>
                <w:szCs w:val="24"/>
              </w:rPr>
            </w:pPr>
            <w:r w:rsidRPr="00B05868">
              <w:rPr>
                <w:rFonts w:ascii="Calibri" w:hAnsi="Calibri" w:cs="Calibri"/>
                <w:color w:val="000000" w:themeColor="text1"/>
                <w:sz w:val="24"/>
                <w:szCs w:val="24"/>
              </w:rPr>
              <w:t>The QR code will direct users to a digital ordering pathway hosted by Yuno (SH:24).</w:t>
            </w:r>
          </w:p>
          <w:p w14:paraId="5553567E" w14:textId="63DC28E2" w:rsidR="00B05868" w:rsidRPr="00B05868" w:rsidRDefault="00B05868" w:rsidP="00B05868">
            <w:pPr>
              <w:pStyle w:val="ListParagraph"/>
              <w:numPr>
                <w:ilvl w:val="0"/>
                <w:numId w:val="41"/>
              </w:numPr>
              <w:suppressAutoHyphens/>
              <w:spacing w:after="0"/>
              <w:rPr>
                <w:rFonts w:ascii="Calibri" w:hAnsi="Calibri" w:cs="Calibri"/>
                <w:color w:val="000000" w:themeColor="text1"/>
                <w:sz w:val="24"/>
                <w:szCs w:val="24"/>
              </w:rPr>
            </w:pPr>
            <w:r w:rsidRPr="00B05868">
              <w:rPr>
                <w:rFonts w:ascii="Calibri" w:hAnsi="Calibri" w:cs="Calibri"/>
                <w:color w:val="000000" w:themeColor="text1"/>
                <w:sz w:val="24"/>
                <w:szCs w:val="24"/>
              </w:rPr>
              <w:t>Test kits are not stored on-site in bulk; instead, women are encouraged to self-order via QR.</w:t>
            </w:r>
          </w:p>
          <w:p w14:paraId="4394581F" w14:textId="77777777" w:rsidR="00B21A7F" w:rsidRPr="00420092" w:rsidRDefault="00B21A7F" w:rsidP="00B21A7F">
            <w:pPr>
              <w:pStyle w:val="ListParagraph"/>
              <w:numPr>
                <w:ilvl w:val="0"/>
                <w:numId w:val="41"/>
              </w:numPr>
              <w:spacing w:after="0" w:line="240" w:lineRule="auto"/>
              <w:rPr>
                <w:rFonts w:ascii="Calibri" w:hAnsi="Calibri" w:cs="Calibri"/>
                <w:sz w:val="24"/>
                <w:szCs w:val="24"/>
              </w:rPr>
            </w:pPr>
            <w:r w:rsidRPr="35283E35">
              <w:rPr>
                <w:rFonts w:ascii="Calibri" w:hAnsi="Calibri" w:cs="Calibri"/>
                <w:color w:val="000000" w:themeColor="text1"/>
                <w:sz w:val="24"/>
                <w:szCs w:val="24"/>
              </w:rPr>
              <w:t xml:space="preserve">Women should be informed that the test kit can detect both chlamydia and gonorrhoea, is easy to do themselves, is confidential and that they do not need to be examined. </w:t>
            </w:r>
          </w:p>
          <w:p w14:paraId="7929F0D8" w14:textId="116C5CA2" w:rsidR="00B05868" w:rsidRPr="00B05868" w:rsidRDefault="00B05868" w:rsidP="00B05868">
            <w:pPr>
              <w:pStyle w:val="ListParagraph"/>
              <w:numPr>
                <w:ilvl w:val="0"/>
                <w:numId w:val="41"/>
              </w:numPr>
              <w:suppressAutoHyphens/>
              <w:spacing w:after="0"/>
              <w:rPr>
                <w:rFonts w:ascii="Calibri" w:hAnsi="Calibri" w:cs="Calibri"/>
                <w:color w:val="000000" w:themeColor="text1"/>
                <w:sz w:val="24"/>
                <w:szCs w:val="24"/>
              </w:rPr>
            </w:pPr>
            <w:r w:rsidRPr="00B05868">
              <w:rPr>
                <w:rFonts w:ascii="Calibri" w:hAnsi="Calibri" w:cs="Calibri"/>
                <w:color w:val="000000" w:themeColor="text1"/>
                <w:sz w:val="24"/>
                <w:szCs w:val="24"/>
              </w:rPr>
              <w:t>Practices can still request a small number of physical kits for direct offer to vulnerable women or those with digital access issues.</w:t>
            </w:r>
          </w:p>
          <w:p w14:paraId="13DFDF0E" w14:textId="68FC6D9C" w:rsidR="00420092" w:rsidRPr="0026001A" w:rsidRDefault="00A37F2D" w:rsidP="0026001A">
            <w:pPr>
              <w:pStyle w:val="ListParagraph"/>
              <w:numPr>
                <w:ilvl w:val="0"/>
                <w:numId w:val="41"/>
              </w:numPr>
              <w:rPr>
                <w:rFonts w:ascii="Calibri" w:hAnsi="Calibri" w:cs="Calibri"/>
                <w:color w:val="000000" w:themeColor="text1"/>
                <w:sz w:val="24"/>
                <w:szCs w:val="24"/>
              </w:rPr>
            </w:pPr>
            <w:r w:rsidRPr="0026001A">
              <w:rPr>
                <w:rFonts w:ascii="Calibri" w:hAnsi="Calibri" w:cs="Calibri"/>
                <w:color w:val="000000" w:themeColor="text1"/>
                <w:sz w:val="24"/>
                <w:szCs w:val="24"/>
              </w:rPr>
              <w:t>Physical kits should not be handed out routinely; they are reserved for exceptional circumstances to reduce waste and stock expiry.</w:t>
            </w:r>
          </w:p>
          <w:p w14:paraId="0E7CC753" w14:textId="77777777" w:rsidR="00420092" w:rsidRPr="00420092" w:rsidRDefault="00420092" w:rsidP="35283E35">
            <w:pPr>
              <w:rPr>
                <w:rFonts w:ascii="Calibri" w:hAnsi="Calibri" w:cs="Calibri"/>
                <w:b/>
                <w:bCs/>
                <w:szCs w:val="24"/>
              </w:rPr>
            </w:pPr>
          </w:p>
          <w:p w14:paraId="63F76735" w14:textId="234F7E20" w:rsidR="00420092" w:rsidRPr="00420092" w:rsidRDefault="00420092" w:rsidP="35283E35">
            <w:pPr>
              <w:pStyle w:val="Heading3"/>
              <w:rPr>
                <w:u w:val="single"/>
              </w:rPr>
            </w:pPr>
            <w:r w:rsidRPr="35283E35">
              <w:t xml:space="preserve">2.3.2 Service user pathway for activating the </w:t>
            </w:r>
            <w:r w:rsidR="00EB37C2">
              <w:t xml:space="preserve">BNSSG </w:t>
            </w:r>
            <w:r w:rsidRPr="35283E35">
              <w:t>self-sampling test kit and getting results.</w:t>
            </w:r>
          </w:p>
          <w:p w14:paraId="0D548AA9" w14:textId="77777777" w:rsidR="00DC7062" w:rsidRPr="00DC7062" w:rsidRDefault="00DC7062" w:rsidP="00DC7062">
            <w:pPr>
              <w:pStyle w:val="ListParagraph"/>
              <w:numPr>
                <w:ilvl w:val="0"/>
                <w:numId w:val="45"/>
              </w:numPr>
              <w:rPr>
                <w:rFonts w:ascii="Calibri" w:hAnsi="Calibri" w:cs="Calibri"/>
                <w:color w:val="000000" w:themeColor="text1"/>
                <w:sz w:val="24"/>
                <w:szCs w:val="24"/>
              </w:rPr>
            </w:pPr>
            <w:r w:rsidRPr="00DC7062">
              <w:rPr>
                <w:rFonts w:ascii="Calibri" w:hAnsi="Calibri" w:cs="Calibri"/>
                <w:color w:val="000000" w:themeColor="text1"/>
                <w:sz w:val="24"/>
                <w:szCs w:val="24"/>
              </w:rPr>
              <w:t>Digital registration is now the default.</w:t>
            </w:r>
          </w:p>
          <w:p w14:paraId="1B3E310F" w14:textId="775DBF90" w:rsidR="00BC599E" w:rsidRPr="00DC7062" w:rsidRDefault="00DC7062" w:rsidP="00DC7062">
            <w:pPr>
              <w:pStyle w:val="ListParagraph"/>
              <w:numPr>
                <w:ilvl w:val="0"/>
                <w:numId w:val="45"/>
              </w:numPr>
              <w:suppressAutoHyphens/>
              <w:spacing w:after="0" w:line="240" w:lineRule="auto"/>
              <w:rPr>
                <w:rFonts w:ascii="Calibri" w:hAnsi="Calibri" w:cs="Calibri"/>
                <w:color w:val="000000" w:themeColor="text1"/>
                <w:sz w:val="24"/>
                <w:szCs w:val="24"/>
              </w:rPr>
            </w:pPr>
            <w:r w:rsidRPr="00DC7062">
              <w:rPr>
                <w:rFonts w:ascii="Calibri" w:hAnsi="Calibri" w:cs="Calibri"/>
                <w:color w:val="000000" w:themeColor="text1"/>
                <w:sz w:val="24"/>
                <w:szCs w:val="24"/>
              </w:rPr>
              <w:t>Each kit (whether ordered digitally or given physically) must be activated by the user with their details for tracking.</w:t>
            </w:r>
          </w:p>
          <w:p w14:paraId="34D80208" w14:textId="77777777" w:rsidR="00BC599E" w:rsidRPr="00DC7062" w:rsidRDefault="00BC599E" w:rsidP="00DC7062">
            <w:pPr>
              <w:rPr>
                <w:rFonts w:ascii="Calibri" w:hAnsi="Calibri" w:cs="Calibri"/>
                <w:color w:val="000000" w:themeColor="text1"/>
                <w:szCs w:val="24"/>
                <w:u w:val="single"/>
              </w:rPr>
            </w:pPr>
          </w:p>
          <w:p w14:paraId="253F54F7" w14:textId="715068F9" w:rsidR="00420092" w:rsidRPr="00420092" w:rsidRDefault="00420092" w:rsidP="35283E35">
            <w:pPr>
              <w:pStyle w:val="ListParagraph"/>
              <w:numPr>
                <w:ilvl w:val="0"/>
                <w:numId w:val="41"/>
              </w:numPr>
              <w:suppressAutoHyphens/>
              <w:spacing w:after="0" w:line="240" w:lineRule="auto"/>
              <w:rPr>
                <w:rFonts w:ascii="Calibri" w:hAnsi="Calibri" w:cs="Calibri"/>
                <w:color w:val="000000" w:themeColor="text1"/>
                <w:sz w:val="24"/>
                <w:szCs w:val="24"/>
                <w:u w:val="single"/>
              </w:rPr>
            </w:pPr>
            <w:r w:rsidRPr="35283E35">
              <w:rPr>
                <w:rFonts w:ascii="Calibri" w:hAnsi="Calibri" w:cs="Calibri"/>
                <w:color w:val="000000" w:themeColor="text1"/>
                <w:sz w:val="24"/>
                <w:szCs w:val="24"/>
                <w:u w:val="single"/>
              </w:rPr>
              <w:t>Women aged 16 to 24 inclusive:</w:t>
            </w:r>
          </w:p>
          <w:p w14:paraId="09AB531D" w14:textId="2E3B0B6E" w:rsidR="00420092" w:rsidRPr="00420092" w:rsidRDefault="00420092" w:rsidP="35283E35">
            <w:pPr>
              <w:pStyle w:val="ListParagraph"/>
              <w:numPr>
                <w:ilvl w:val="1"/>
                <w:numId w:val="41"/>
              </w:numPr>
              <w:suppressAutoHyphens/>
              <w:spacing w:after="0" w:line="240" w:lineRule="auto"/>
              <w:rPr>
                <w:rFonts w:ascii="Calibri" w:hAnsi="Calibri" w:cs="Calibri"/>
                <w:sz w:val="24"/>
                <w:szCs w:val="24"/>
              </w:rPr>
            </w:pPr>
            <w:r w:rsidRPr="35283E35">
              <w:rPr>
                <w:rFonts w:ascii="Calibri" w:hAnsi="Calibri" w:cs="Calibri"/>
                <w:sz w:val="24"/>
                <w:szCs w:val="24"/>
              </w:rPr>
              <w:t xml:space="preserve">Each test kit will include a QR code and clear instructions for service users on how to activate/register online. Users will provide basic demographic and contact details. For those without a smartphone, a URL will be provided for access via a computer. </w:t>
            </w:r>
            <w:r w:rsidR="0089182E">
              <w:rPr>
                <w:rFonts w:ascii="Calibri" w:hAnsi="Calibri" w:cs="Calibri"/>
                <w:sz w:val="24"/>
                <w:szCs w:val="24"/>
              </w:rPr>
              <w:t xml:space="preserve"> </w:t>
            </w:r>
          </w:p>
          <w:p w14:paraId="0CA028AD" w14:textId="77777777" w:rsidR="00420092" w:rsidRPr="00420092" w:rsidRDefault="00420092" w:rsidP="35283E35">
            <w:pPr>
              <w:pStyle w:val="ListParagraph"/>
              <w:numPr>
                <w:ilvl w:val="1"/>
                <w:numId w:val="41"/>
              </w:numPr>
              <w:suppressAutoHyphens/>
              <w:spacing w:after="0" w:line="240" w:lineRule="auto"/>
              <w:rPr>
                <w:rFonts w:ascii="Calibri" w:hAnsi="Calibri" w:cs="Calibri"/>
                <w:sz w:val="24"/>
                <w:szCs w:val="24"/>
              </w:rPr>
            </w:pPr>
            <w:r w:rsidRPr="35283E35">
              <w:rPr>
                <w:rFonts w:ascii="Calibri" w:hAnsi="Calibri" w:cs="Calibri"/>
                <w:sz w:val="24"/>
                <w:szCs w:val="24"/>
              </w:rPr>
              <w:t xml:space="preserve">Once the test kit is activated, service users will manage their test results online or via text message (a smart phone is not required to receive results via SMS). Partner notification will also be managed digitally (see section 2.4)  </w:t>
            </w:r>
          </w:p>
          <w:p w14:paraId="77451D9B" w14:textId="77777777" w:rsidR="00420092" w:rsidRDefault="00420092" w:rsidP="35283E35">
            <w:pPr>
              <w:pStyle w:val="ListParagraph"/>
              <w:numPr>
                <w:ilvl w:val="1"/>
                <w:numId w:val="41"/>
              </w:numPr>
              <w:suppressAutoHyphens/>
              <w:spacing w:after="0" w:line="240" w:lineRule="auto"/>
              <w:rPr>
                <w:rFonts w:ascii="Calibri" w:hAnsi="Calibri" w:cs="Calibri"/>
                <w:sz w:val="24"/>
                <w:szCs w:val="24"/>
              </w:rPr>
            </w:pPr>
            <w:r w:rsidRPr="35283E35">
              <w:rPr>
                <w:rFonts w:ascii="Calibri" w:hAnsi="Calibri" w:cs="Calibri"/>
                <w:sz w:val="24"/>
                <w:szCs w:val="24"/>
              </w:rPr>
              <w:t>Practices should assist individuals that are digitally excluded or require assistance by activating the test kit on their behalf. Service users must provide a phone number for communicating results.</w:t>
            </w:r>
          </w:p>
          <w:p w14:paraId="2267ECF1" w14:textId="5B0F133C" w:rsidR="000B2663" w:rsidRPr="00420092" w:rsidRDefault="000B2663" w:rsidP="35283E35">
            <w:pPr>
              <w:pStyle w:val="ListParagraph"/>
              <w:numPr>
                <w:ilvl w:val="1"/>
                <w:numId w:val="41"/>
              </w:numPr>
              <w:suppressAutoHyphens/>
              <w:spacing w:after="0" w:line="240" w:lineRule="auto"/>
              <w:rPr>
                <w:rFonts w:ascii="Calibri" w:hAnsi="Calibri" w:cs="Calibri"/>
                <w:sz w:val="24"/>
                <w:szCs w:val="24"/>
              </w:rPr>
            </w:pPr>
            <w:r>
              <w:rPr>
                <w:rFonts w:ascii="Calibri" w:hAnsi="Calibri" w:cs="Calibri"/>
                <w:sz w:val="24"/>
                <w:szCs w:val="24"/>
              </w:rPr>
              <w:t xml:space="preserve">A </w:t>
            </w:r>
            <w:r w:rsidR="00647A8A">
              <w:rPr>
                <w:rFonts w:ascii="Calibri" w:hAnsi="Calibri" w:cs="Calibri"/>
                <w:sz w:val="24"/>
                <w:szCs w:val="24"/>
              </w:rPr>
              <w:t>BNSSG</w:t>
            </w:r>
            <w:r>
              <w:rPr>
                <w:rFonts w:ascii="Calibri" w:hAnsi="Calibri" w:cs="Calibri"/>
                <w:sz w:val="24"/>
                <w:szCs w:val="24"/>
              </w:rPr>
              <w:t xml:space="preserve"> postcode is required to activate the kits</w:t>
            </w:r>
            <w:r w:rsidR="0089182E">
              <w:rPr>
                <w:rFonts w:ascii="Calibri" w:hAnsi="Calibri" w:cs="Calibri"/>
                <w:sz w:val="24"/>
                <w:szCs w:val="24"/>
              </w:rPr>
              <w:t>.</w:t>
            </w:r>
          </w:p>
          <w:p w14:paraId="318DBC52" w14:textId="77777777" w:rsidR="00420092" w:rsidRPr="00420092" w:rsidRDefault="00420092" w:rsidP="35283E35">
            <w:pPr>
              <w:pStyle w:val="ListParagraph"/>
              <w:spacing w:after="0" w:line="240" w:lineRule="auto"/>
              <w:rPr>
                <w:rFonts w:ascii="Calibri" w:hAnsi="Calibri" w:cs="Calibri"/>
                <w:color w:val="000000" w:themeColor="text1"/>
                <w:sz w:val="24"/>
                <w:szCs w:val="24"/>
              </w:rPr>
            </w:pPr>
          </w:p>
          <w:p w14:paraId="257E56C1" w14:textId="77777777" w:rsidR="00420092" w:rsidRPr="00420092" w:rsidRDefault="00420092" w:rsidP="35283E35">
            <w:pPr>
              <w:pStyle w:val="ListParagraph"/>
              <w:numPr>
                <w:ilvl w:val="0"/>
                <w:numId w:val="41"/>
              </w:numPr>
              <w:suppressAutoHyphens/>
              <w:spacing w:after="0" w:line="240" w:lineRule="auto"/>
              <w:rPr>
                <w:rFonts w:ascii="Calibri" w:hAnsi="Calibri" w:cs="Calibri"/>
                <w:color w:val="000000" w:themeColor="text1"/>
                <w:sz w:val="24"/>
                <w:szCs w:val="24"/>
                <w:u w:val="single"/>
              </w:rPr>
            </w:pPr>
            <w:r w:rsidRPr="35283E35">
              <w:rPr>
                <w:rFonts w:ascii="Calibri" w:hAnsi="Calibri" w:cs="Calibri"/>
                <w:color w:val="000000" w:themeColor="text1"/>
                <w:sz w:val="24"/>
                <w:szCs w:val="24"/>
                <w:u w:val="single"/>
              </w:rPr>
              <w:lastRenderedPageBreak/>
              <w:t>Women aged 13 to 15 inclusive:</w:t>
            </w:r>
          </w:p>
          <w:p w14:paraId="7AD2F018" w14:textId="71F83B7D" w:rsidR="00420092" w:rsidRPr="00647A8A" w:rsidRDefault="00420092" w:rsidP="35283E35">
            <w:pPr>
              <w:pStyle w:val="ListParagraph"/>
              <w:numPr>
                <w:ilvl w:val="1"/>
                <w:numId w:val="41"/>
              </w:numPr>
              <w:suppressAutoHyphens/>
              <w:spacing w:after="0" w:line="240" w:lineRule="auto"/>
              <w:rPr>
                <w:rFonts w:ascii="Calibri" w:hAnsi="Calibri" w:cs="Calibri"/>
                <w:sz w:val="24"/>
                <w:szCs w:val="24"/>
                <w:u w:val="single"/>
              </w:rPr>
            </w:pPr>
            <w:r w:rsidRPr="35283E35">
              <w:rPr>
                <w:rFonts w:ascii="Calibri" w:hAnsi="Calibri" w:cs="Calibri"/>
                <w:color w:val="000000" w:themeColor="text1"/>
                <w:sz w:val="24"/>
                <w:szCs w:val="24"/>
              </w:rPr>
              <w:t>D</w:t>
            </w:r>
            <w:r w:rsidRPr="35283E35">
              <w:rPr>
                <w:rFonts w:ascii="Calibri" w:hAnsi="Calibri" w:cs="Calibri"/>
                <w:sz w:val="24"/>
                <w:szCs w:val="24"/>
              </w:rPr>
              <w:t xml:space="preserve">irect the service user to </w:t>
            </w:r>
            <w:r w:rsidR="0089182E">
              <w:rPr>
                <w:rFonts w:ascii="Calibri" w:hAnsi="Calibri" w:cs="Calibri"/>
                <w:sz w:val="24"/>
                <w:szCs w:val="24"/>
              </w:rPr>
              <w:t>a Yuno clinic</w:t>
            </w:r>
            <w:r w:rsidRPr="35283E35">
              <w:rPr>
                <w:rFonts w:ascii="Calibri" w:hAnsi="Calibri" w:cs="Calibri"/>
                <w:sz w:val="24"/>
                <w:szCs w:val="24"/>
              </w:rPr>
              <w:t xml:space="preserve"> for STI testing. A digital test kit pathway is under development</w:t>
            </w:r>
            <w:r w:rsidR="00966EAE" w:rsidRPr="35283E35">
              <w:rPr>
                <w:rFonts w:ascii="Calibri" w:hAnsi="Calibri" w:cs="Calibri"/>
                <w:sz w:val="24"/>
                <w:szCs w:val="24"/>
              </w:rPr>
              <w:t xml:space="preserve"> for this age group</w:t>
            </w:r>
            <w:r w:rsidRPr="35283E35">
              <w:rPr>
                <w:rFonts w:ascii="Calibri" w:hAnsi="Calibri" w:cs="Calibri"/>
                <w:sz w:val="24"/>
                <w:szCs w:val="24"/>
              </w:rPr>
              <w:t xml:space="preserve">. Further guidance will follow once available. </w:t>
            </w:r>
          </w:p>
          <w:p w14:paraId="18A8CAEA" w14:textId="77777777" w:rsidR="00647A8A" w:rsidRPr="00647A8A" w:rsidRDefault="00647A8A" w:rsidP="00647A8A">
            <w:pPr>
              <w:rPr>
                <w:rFonts w:ascii="Calibri" w:hAnsi="Calibri" w:cs="Calibri"/>
                <w:szCs w:val="24"/>
                <w:u w:val="single"/>
              </w:rPr>
            </w:pPr>
          </w:p>
          <w:p w14:paraId="1F962E81" w14:textId="577983D7" w:rsidR="00420092" w:rsidRPr="00420092" w:rsidRDefault="00647A8A" w:rsidP="35283E35">
            <w:pPr>
              <w:pStyle w:val="Heading3"/>
            </w:pPr>
            <w:r>
              <w:t xml:space="preserve">2.3.3 </w:t>
            </w:r>
            <w:r w:rsidR="00420092" w:rsidRPr="35283E35">
              <w:t xml:space="preserve">Ordering chlamydia and gonorrhoea self-sampling test kits </w:t>
            </w:r>
            <w:r w:rsidR="005C6632">
              <w:t>for vulnerable women</w:t>
            </w:r>
          </w:p>
          <w:p w14:paraId="5F82C980" w14:textId="6E091DE9" w:rsidR="00420092" w:rsidRPr="00420092" w:rsidRDefault="00420092" w:rsidP="35283E35">
            <w:pPr>
              <w:pStyle w:val="ListParagraph"/>
              <w:numPr>
                <w:ilvl w:val="0"/>
                <w:numId w:val="41"/>
              </w:numPr>
              <w:suppressAutoHyphens/>
              <w:spacing w:after="0" w:line="240" w:lineRule="auto"/>
              <w:rPr>
                <w:rFonts w:ascii="Calibri" w:hAnsi="Calibri" w:cs="Calibri"/>
                <w:color w:val="000000" w:themeColor="text1"/>
                <w:sz w:val="24"/>
                <w:szCs w:val="24"/>
              </w:rPr>
            </w:pPr>
            <w:r w:rsidRPr="35283E35">
              <w:rPr>
                <w:rFonts w:ascii="Calibri" w:hAnsi="Calibri" w:cs="Calibri"/>
                <w:color w:val="000000" w:themeColor="text1"/>
                <w:sz w:val="24"/>
                <w:szCs w:val="24"/>
              </w:rPr>
              <w:t xml:space="preserve">Chlamydia/gonorrhoea test kits can be ordered via email: </w:t>
            </w:r>
            <w:hyperlink r:id="rId37" w:history="1">
              <w:r w:rsidR="005C6632" w:rsidRPr="00A73F69">
                <w:rPr>
                  <w:rStyle w:val="Hyperlink"/>
                  <w:rFonts w:ascii="Calibri" w:hAnsi="Calibri" w:cs="Calibri"/>
                  <w:sz w:val="24"/>
                  <w:szCs w:val="24"/>
                </w:rPr>
                <w:t>orders@sh24.org.uk</w:t>
              </w:r>
            </w:hyperlink>
            <w:r w:rsidR="005C6632">
              <w:rPr>
                <w:rFonts w:ascii="Calibri" w:hAnsi="Calibri" w:cs="Calibri"/>
                <w:color w:val="000000" w:themeColor="text1"/>
                <w:sz w:val="24"/>
                <w:szCs w:val="24"/>
              </w:rPr>
              <w:t xml:space="preserve"> </w:t>
            </w:r>
            <w:r w:rsidRPr="35283E35">
              <w:rPr>
                <w:rFonts w:ascii="Calibri" w:hAnsi="Calibri" w:cs="Calibri"/>
                <w:color w:val="000000" w:themeColor="text1"/>
                <w:sz w:val="24"/>
                <w:szCs w:val="24"/>
              </w:rPr>
              <w:t xml:space="preserve"> </w:t>
            </w:r>
          </w:p>
          <w:p w14:paraId="37792E02" w14:textId="77777777" w:rsidR="00420092" w:rsidRPr="00420092" w:rsidRDefault="00420092" w:rsidP="35283E35">
            <w:pPr>
              <w:pStyle w:val="paragraph"/>
              <w:spacing w:before="0" w:beforeAutospacing="0" w:after="0" w:afterAutospacing="0"/>
              <w:textAlignment w:val="baseline"/>
              <w:rPr>
                <w:sz w:val="24"/>
                <w:szCs w:val="24"/>
              </w:rPr>
            </w:pPr>
          </w:p>
          <w:p w14:paraId="38985535" w14:textId="148EF8FB" w:rsidR="00966EAE" w:rsidRPr="00072B22" w:rsidRDefault="00966EAE"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2.4 Positive results and partner notification</w:t>
            </w:r>
          </w:p>
          <w:p w14:paraId="398E9983" w14:textId="77777777" w:rsidR="00420092" w:rsidRPr="00420092" w:rsidRDefault="00420092" w:rsidP="35283E35">
            <w:pPr>
              <w:rPr>
                <w:rFonts w:ascii="Calibri" w:hAnsi="Calibri" w:cs="Calibri"/>
                <w:b/>
                <w:bCs/>
                <w:szCs w:val="24"/>
              </w:rPr>
            </w:pPr>
          </w:p>
          <w:p w14:paraId="2EA40EB5" w14:textId="77777777" w:rsidR="00420092" w:rsidRPr="00420092" w:rsidRDefault="00420092" w:rsidP="35283E35">
            <w:pPr>
              <w:rPr>
                <w:rFonts w:ascii="Calibri" w:eastAsia="Arial" w:hAnsi="Calibri" w:cs="Calibri"/>
                <w:color w:val="000000" w:themeColor="text1"/>
                <w:szCs w:val="24"/>
                <w:highlight w:val="yellow"/>
              </w:rPr>
            </w:pPr>
            <w:r w:rsidRPr="35283E35">
              <w:rPr>
                <w:rStyle w:val="Heading3Char"/>
              </w:rPr>
              <w:t>2.4.1 Patients who screen positive for chlamydia or gonorrhoea (using test kits from the ISHS)</w:t>
            </w:r>
            <w:r w:rsidRPr="35283E35">
              <w:rPr>
                <w:rFonts w:ascii="Calibri" w:eastAsia="Arial" w:hAnsi="Calibri" w:cs="Calibri"/>
                <w:color w:val="000000" w:themeColor="text1"/>
                <w:szCs w:val="24"/>
              </w:rPr>
              <w:t xml:space="preserve"> will be contacted by the ISHS to give them their results, arrange how to access free treatment, initiate partner notification and be provided with any further follow up advice.</w:t>
            </w:r>
          </w:p>
          <w:p w14:paraId="66D5009B" w14:textId="77777777" w:rsidR="00420092" w:rsidRPr="00420092" w:rsidRDefault="00420092" w:rsidP="35283E35">
            <w:pPr>
              <w:rPr>
                <w:rFonts w:ascii="Calibri" w:eastAsia="Arial" w:hAnsi="Calibri" w:cs="Calibri"/>
                <w:color w:val="000000" w:themeColor="text1"/>
                <w:szCs w:val="24"/>
                <w:highlight w:val="yellow"/>
              </w:rPr>
            </w:pPr>
            <w:r w:rsidRPr="35283E35">
              <w:rPr>
                <w:rFonts w:ascii="Calibri" w:eastAsia="Arial" w:hAnsi="Calibri" w:cs="Calibri"/>
                <w:color w:val="000000" w:themeColor="text1"/>
                <w:szCs w:val="24"/>
              </w:rPr>
              <w:t xml:space="preserve"> </w:t>
            </w:r>
          </w:p>
          <w:p w14:paraId="4A82CD31" w14:textId="061F49BE" w:rsidR="00420092" w:rsidRPr="00420092" w:rsidRDefault="00420092" w:rsidP="5A492550">
            <w:pPr>
              <w:rPr>
                <w:rFonts w:ascii="Calibri" w:eastAsia="Arial" w:hAnsi="Calibri" w:cs="Calibri"/>
                <w:color w:val="000000" w:themeColor="text1"/>
              </w:rPr>
            </w:pPr>
            <w:r w:rsidRPr="5A492550">
              <w:rPr>
                <w:rStyle w:val="Heading3Char"/>
              </w:rPr>
              <w:t>2.4.2 Patients who test positive for chlamydia using practice swabs</w:t>
            </w:r>
            <w:r w:rsidRPr="5A492550">
              <w:rPr>
                <w:rFonts w:ascii="Calibri" w:eastAsia="Arial" w:hAnsi="Calibri" w:cs="Calibri"/>
                <w:color w:val="000000" w:themeColor="text1"/>
              </w:rPr>
              <w:t xml:space="preserve"> (not </w:t>
            </w:r>
            <w:r w:rsidR="006C726F" w:rsidRPr="5A492550">
              <w:rPr>
                <w:rFonts w:ascii="Calibri" w:eastAsia="Arial" w:hAnsi="Calibri" w:cs="Calibri"/>
                <w:color w:val="000000" w:themeColor="text1"/>
              </w:rPr>
              <w:t>SH:24</w:t>
            </w:r>
            <w:r w:rsidRPr="5A492550">
              <w:rPr>
                <w:rFonts w:ascii="Calibri" w:eastAsia="Arial" w:hAnsi="Calibri" w:cs="Calibri"/>
                <w:color w:val="000000" w:themeColor="text1"/>
              </w:rPr>
              <w:t xml:space="preserve"> self-sampling test kits) should receive treatment and advice from their GP. They should be advised of the need to be retested at 3 months if under 25 or at high risk of re-infection as per </w:t>
            </w:r>
            <w:hyperlink r:id="rId38">
              <w:r w:rsidRPr="5A492550">
                <w:rPr>
                  <w:rStyle w:val="Hyperlink"/>
                  <w:rFonts w:ascii="Calibri" w:eastAsia="Arial" w:hAnsi="Calibri" w:cs="Calibri"/>
                </w:rPr>
                <w:t>BASHH guidelines</w:t>
              </w:r>
            </w:hyperlink>
            <w:r w:rsidRPr="5A492550">
              <w:rPr>
                <w:rFonts w:ascii="Calibri" w:eastAsia="Arial" w:hAnsi="Calibri" w:cs="Calibri"/>
                <w:color w:val="000000" w:themeColor="text1"/>
              </w:rPr>
              <w:t xml:space="preserve">. </w:t>
            </w:r>
          </w:p>
          <w:p w14:paraId="148525C2" w14:textId="3462F159" w:rsidR="00420092" w:rsidRPr="00420092" w:rsidRDefault="00420092" w:rsidP="5A492550">
            <w:pPr>
              <w:rPr>
                <w:rFonts w:ascii="Calibri" w:eastAsia="Arial" w:hAnsi="Calibri" w:cs="Calibri"/>
                <w:color w:val="000000" w:themeColor="text1"/>
              </w:rPr>
            </w:pPr>
            <w:r w:rsidRPr="5A492550">
              <w:rPr>
                <w:rFonts w:ascii="Calibri" w:eastAsia="Arial" w:hAnsi="Calibri" w:cs="Calibri"/>
                <w:i/>
                <w:iCs/>
                <w:color w:val="000000" w:themeColor="text1"/>
              </w:rPr>
              <w:t xml:space="preserve">Please note: a digital partner notification pathway is being developed in the ISHS for primary care and details will be shared once available. In the meantime, </w:t>
            </w:r>
            <w:r w:rsidR="4F5FD4BB" w:rsidRPr="5A492550">
              <w:rPr>
                <w:rFonts w:ascii="Calibri" w:eastAsia="Calibri" w:hAnsi="Calibri" w:cs="Calibri"/>
                <w:i/>
                <w:iCs/>
                <w:szCs w:val="24"/>
              </w:rPr>
              <w:t xml:space="preserve">practices may refer patients needing partner notification support to the Yuno professionals’ helpline: </w:t>
            </w:r>
            <w:r w:rsidR="4F5FD4BB" w:rsidRPr="5A492550">
              <w:rPr>
                <w:rFonts w:ascii="Calibri" w:eastAsia="Calibri" w:hAnsi="Calibri" w:cs="Calibri"/>
                <w:b/>
                <w:bCs/>
                <w:i/>
                <w:iCs/>
                <w:szCs w:val="24"/>
              </w:rPr>
              <w:t>0117 342 6913</w:t>
            </w:r>
            <w:r w:rsidR="4F5FD4BB" w:rsidRPr="5A492550">
              <w:rPr>
                <w:rFonts w:ascii="Calibri" w:eastAsia="Calibri" w:hAnsi="Calibri" w:cs="Calibri"/>
                <w:i/>
                <w:iCs/>
                <w:szCs w:val="24"/>
              </w:rPr>
              <w:t>.</w:t>
            </w:r>
            <w:r w:rsidR="005C6632" w:rsidRPr="5A492550">
              <w:rPr>
                <w:rFonts w:ascii="Calibri" w:eastAsia="Arial" w:hAnsi="Calibri" w:cs="Calibri"/>
                <w:i/>
                <w:iCs/>
                <w:color w:val="000000" w:themeColor="text1"/>
              </w:rPr>
              <w:t xml:space="preserve"> </w:t>
            </w:r>
            <w:hyperlink r:id="rId39">
              <w:r w:rsidR="005C6632" w:rsidRPr="5A492550">
                <w:rPr>
                  <w:rStyle w:val="Hyperlink"/>
                  <w:rFonts w:ascii="Calibri" w:eastAsia="Arial" w:hAnsi="Calibri" w:cs="Calibri"/>
                  <w:i/>
                  <w:iCs/>
                </w:rPr>
                <w:t>Yuno professional zone | Yuno sexual health</w:t>
              </w:r>
            </w:hyperlink>
          </w:p>
          <w:p w14:paraId="53064916" w14:textId="77777777" w:rsidR="00420092" w:rsidRPr="00420092" w:rsidRDefault="00420092" w:rsidP="35283E35">
            <w:pPr>
              <w:rPr>
                <w:rFonts w:ascii="Calibri" w:eastAsia="Arial" w:hAnsi="Calibri" w:cs="Calibri"/>
                <w:color w:val="000000" w:themeColor="text1"/>
                <w:szCs w:val="24"/>
              </w:rPr>
            </w:pPr>
          </w:p>
          <w:p w14:paraId="332EA104" w14:textId="77777777" w:rsidR="00420092" w:rsidRDefault="00420092" w:rsidP="35283E35">
            <w:pPr>
              <w:rPr>
                <w:rFonts w:ascii="Calibri" w:eastAsia="Arial" w:hAnsi="Calibri" w:cs="Calibri"/>
                <w:i/>
                <w:iCs/>
                <w:color w:val="000000" w:themeColor="text1"/>
                <w:szCs w:val="24"/>
              </w:rPr>
            </w:pPr>
            <w:r w:rsidRPr="35283E35">
              <w:rPr>
                <w:rStyle w:val="Heading3Char"/>
              </w:rPr>
              <w:t>2.4.3 Patients who test positive for gonorrhoea using practice swabs</w:t>
            </w:r>
            <w:r w:rsidRPr="35283E35">
              <w:rPr>
                <w:rFonts w:ascii="Calibri" w:eastAsia="Arial" w:hAnsi="Calibri" w:cs="Calibri"/>
                <w:color w:val="000000" w:themeColor="text1"/>
                <w:szCs w:val="24"/>
              </w:rPr>
              <w:t xml:space="preserve"> (not ISHS self-sampling test kits) should be referred to the ISHS for culture/sensitivity testing, treatment, and any necessary further follow up advice as per </w:t>
            </w:r>
            <w:hyperlink r:id="rId40">
              <w:r w:rsidRPr="35283E35">
                <w:rPr>
                  <w:rStyle w:val="Hyperlink"/>
                  <w:rFonts w:ascii="Calibri" w:eastAsia="Arial" w:hAnsi="Calibri" w:cs="Calibri"/>
                  <w:szCs w:val="24"/>
                </w:rPr>
                <w:t>Remedy guidelines</w:t>
              </w:r>
            </w:hyperlink>
            <w:r w:rsidRPr="35283E35">
              <w:rPr>
                <w:rFonts w:ascii="Calibri" w:eastAsia="Arial" w:hAnsi="Calibri" w:cs="Calibri"/>
                <w:color w:val="000000" w:themeColor="text1"/>
                <w:szCs w:val="24"/>
              </w:rPr>
              <w:t xml:space="preserve"> (unless these services are available within the GP practice). </w:t>
            </w:r>
            <w:r w:rsidRPr="35283E35">
              <w:rPr>
                <w:rFonts w:ascii="Calibri" w:eastAsia="Arial" w:hAnsi="Calibri" w:cs="Calibri"/>
                <w:i/>
                <w:iCs/>
                <w:color w:val="000000" w:themeColor="text1"/>
                <w:szCs w:val="24"/>
              </w:rPr>
              <w:t>Please note: a digital partner notification pathway is being developed in the ISHS for primary care and details will be shared once available. In the meantime, if you feel a patient requires support for partner notification, please contact the ISHS on the professionals’ phone line (phone number to follow).</w:t>
            </w:r>
          </w:p>
          <w:p w14:paraId="6788D7BD" w14:textId="77777777" w:rsidR="00CA779D" w:rsidRPr="00420092" w:rsidRDefault="00CA779D" w:rsidP="35283E35">
            <w:pPr>
              <w:rPr>
                <w:rFonts w:ascii="Calibri" w:eastAsia="Arial" w:hAnsi="Calibri" w:cs="Calibri"/>
                <w:color w:val="000000" w:themeColor="text1"/>
                <w:szCs w:val="24"/>
              </w:rPr>
            </w:pPr>
          </w:p>
          <w:p w14:paraId="3D271C38" w14:textId="77777777" w:rsidR="00072B22" w:rsidRPr="00072B22" w:rsidRDefault="00072B22" w:rsidP="35283E35">
            <w:pPr>
              <w:jc w:val="left"/>
              <w:rPr>
                <w:rFonts w:asciiTheme="minorHAnsi" w:hAnsiTheme="minorHAnsi" w:cstheme="minorBidi"/>
                <w:szCs w:val="24"/>
              </w:rPr>
            </w:pPr>
          </w:p>
          <w:p w14:paraId="20725B6D" w14:textId="77777777" w:rsidR="00072B22" w:rsidRPr="00072B22" w:rsidRDefault="00072B22" w:rsidP="35283E35">
            <w:pPr>
              <w:jc w:val="left"/>
              <w:rPr>
                <w:rFonts w:asciiTheme="minorHAnsi" w:hAnsiTheme="minorHAnsi" w:cstheme="minorBidi"/>
                <w:szCs w:val="24"/>
              </w:rPr>
            </w:pPr>
            <w:r w:rsidRPr="35283E35">
              <w:rPr>
                <w:rFonts w:asciiTheme="minorHAnsi" w:hAnsiTheme="minorHAnsi" w:cstheme="minorBidi"/>
                <w:szCs w:val="24"/>
              </w:rPr>
              <w:t>Services should be young person focused; adhere to the You’re Welcome, Young People Friendly (YPF) standards which include having due regard to access to the service, promotion of the service, consent and confidentiality, the consultation environment, staff training and involving young people in the development and evaluation of the service. Practices wanting to participate in the local YPF accredited scheme should contact the commissioner for more details.</w:t>
            </w:r>
          </w:p>
          <w:p w14:paraId="5E2A2F3A" w14:textId="77777777" w:rsidR="00072B22" w:rsidRPr="00072B22" w:rsidRDefault="00072B22" w:rsidP="35283E35">
            <w:pPr>
              <w:jc w:val="left"/>
              <w:rPr>
                <w:rFonts w:asciiTheme="minorHAnsi" w:hAnsiTheme="minorHAnsi" w:cstheme="minorBidi"/>
                <w:color w:val="0563C1"/>
                <w:szCs w:val="24"/>
                <w:u w:val="single"/>
              </w:rPr>
            </w:pPr>
          </w:p>
          <w:p w14:paraId="13629A9E" w14:textId="7037506B" w:rsidR="00072B22" w:rsidRPr="00072B22" w:rsidRDefault="00072B22"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w:t>
            </w:r>
            <w:r w:rsidR="000D6C67" w:rsidRPr="35283E35">
              <w:rPr>
                <w:rFonts w:asciiTheme="minorHAnsi" w:hAnsiTheme="minorHAnsi" w:cstheme="minorBidi"/>
                <w:b/>
                <w:bCs/>
                <w:color w:val="339966"/>
                <w:szCs w:val="24"/>
              </w:rPr>
              <w:t>5</w:t>
            </w:r>
            <w:r w:rsidRPr="35283E35">
              <w:rPr>
                <w:rFonts w:asciiTheme="minorHAnsi" w:hAnsiTheme="minorHAnsi" w:cstheme="minorBidi"/>
                <w:b/>
                <w:bCs/>
                <w:color w:val="339966"/>
                <w:szCs w:val="24"/>
              </w:rPr>
              <w:t xml:space="preserve"> Population covered</w:t>
            </w:r>
          </w:p>
          <w:p w14:paraId="46945AA0" w14:textId="0EF2519D" w:rsidR="00072B22" w:rsidRDefault="00966EAE" w:rsidP="35283E35">
            <w:pPr>
              <w:jc w:val="left"/>
              <w:rPr>
                <w:rFonts w:ascii="Calibri" w:hAnsi="Calibri" w:cs="Calibri"/>
                <w:szCs w:val="24"/>
              </w:rPr>
            </w:pPr>
            <w:r w:rsidRPr="35283E35">
              <w:rPr>
                <w:rFonts w:ascii="Calibri" w:hAnsi="Calibri" w:cs="Calibri"/>
                <w:szCs w:val="24"/>
              </w:rPr>
              <w:t xml:space="preserve">Chlamydia and gonorrhoea self-sampling test kits should only be given to those resident in Bristol, North Somerset and South Gloucestershire. </w:t>
            </w:r>
            <w:r w:rsidR="00F71A02">
              <w:rPr>
                <w:rFonts w:ascii="Calibri" w:hAnsi="Calibri" w:cs="Calibri"/>
                <w:szCs w:val="24"/>
              </w:rPr>
              <w:t xml:space="preserve">(Both physical kits for vulnerable women and </w:t>
            </w:r>
            <w:r w:rsidR="00797186">
              <w:rPr>
                <w:rFonts w:ascii="Calibri" w:hAnsi="Calibri" w:cs="Calibri"/>
                <w:szCs w:val="24"/>
              </w:rPr>
              <w:t>those accessing via the QR code.</w:t>
            </w:r>
          </w:p>
          <w:p w14:paraId="725136D0" w14:textId="77777777" w:rsidR="00966EAE" w:rsidRPr="00072B22" w:rsidRDefault="00966EAE" w:rsidP="35283E35">
            <w:pPr>
              <w:jc w:val="left"/>
              <w:rPr>
                <w:rFonts w:asciiTheme="minorHAnsi" w:hAnsiTheme="minorHAnsi" w:cstheme="minorBidi"/>
                <w:b/>
                <w:bCs/>
                <w:color w:val="339966"/>
                <w:szCs w:val="24"/>
              </w:rPr>
            </w:pPr>
          </w:p>
          <w:p w14:paraId="4465903B" w14:textId="61454F8D" w:rsidR="00072B22" w:rsidRPr="00072B22" w:rsidRDefault="00072B22" w:rsidP="35283E35">
            <w:pPr>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w:t>
            </w:r>
            <w:r w:rsidR="000D6C67" w:rsidRPr="35283E35">
              <w:rPr>
                <w:rFonts w:asciiTheme="minorHAnsi" w:hAnsiTheme="minorHAnsi" w:cstheme="minorBidi"/>
                <w:b/>
                <w:bCs/>
                <w:color w:val="339966"/>
                <w:szCs w:val="24"/>
              </w:rPr>
              <w:t>6</w:t>
            </w:r>
            <w:r w:rsidRPr="35283E35">
              <w:rPr>
                <w:rFonts w:asciiTheme="minorHAnsi" w:hAnsiTheme="minorHAnsi" w:cstheme="minorBidi"/>
                <w:b/>
                <w:bCs/>
                <w:color w:val="339966"/>
                <w:szCs w:val="24"/>
              </w:rPr>
              <w:t xml:space="preserve"> Acceptance and exclusion criteria and thresholds </w:t>
            </w:r>
          </w:p>
          <w:p w14:paraId="075AF4B0" w14:textId="77777777" w:rsidR="00072B22" w:rsidRDefault="00072B22" w:rsidP="35283E35">
            <w:pPr>
              <w:jc w:val="left"/>
              <w:rPr>
                <w:rFonts w:asciiTheme="minorHAnsi" w:hAnsiTheme="minorHAnsi" w:cstheme="minorBidi"/>
                <w:szCs w:val="24"/>
              </w:rPr>
            </w:pPr>
            <w:r w:rsidRPr="35283E35">
              <w:rPr>
                <w:rFonts w:asciiTheme="minorHAnsi" w:hAnsiTheme="minorHAnsi" w:cstheme="minorBidi"/>
                <w:szCs w:val="24"/>
              </w:rPr>
              <w:t xml:space="preserve">This service excludes HIV treatment and care. </w:t>
            </w:r>
          </w:p>
          <w:p w14:paraId="5B5DD9BD" w14:textId="77777777" w:rsidR="00966EAE" w:rsidRDefault="00966EAE" w:rsidP="35283E35">
            <w:pPr>
              <w:jc w:val="left"/>
              <w:rPr>
                <w:rFonts w:asciiTheme="minorHAnsi" w:hAnsiTheme="minorHAnsi" w:cstheme="minorBidi"/>
                <w:szCs w:val="24"/>
              </w:rPr>
            </w:pPr>
          </w:p>
          <w:p w14:paraId="6DBAFE41" w14:textId="77777777" w:rsidR="00966EAE" w:rsidRPr="00966EAE" w:rsidRDefault="00966EAE" w:rsidP="35283E35">
            <w:pPr>
              <w:jc w:val="left"/>
              <w:rPr>
                <w:rFonts w:asciiTheme="minorHAnsi" w:hAnsiTheme="minorHAnsi" w:cstheme="minorBidi"/>
                <w:szCs w:val="24"/>
              </w:rPr>
            </w:pPr>
            <w:r w:rsidRPr="35283E35">
              <w:rPr>
                <w:rFonts w:asciiTheme="minorHAnsi" w:hAnsiTheme="minorHAnsi" w:cstheme="minorBidi"/>
                <w:szCs w:val="24"/>
              </w:rPr>
              <w:lastRenderedPageBreak/>
              <w:t>Practices can offer this service to particularly vulnerable women aged 25 and over if necessary using their professional judgement.</w:t>
            </w:r>
          </w:p>
          <w:p w14:paraId="4769C1D4" w14:textId="77777777" w:rsidR="00072B22" w:rsidRPr="00072B22" w:rsidRDefault="00072B22" w:rsidP="35283E35">
            <w:pPr>
              <w:keepNext/>
              <w:jc w:val="left"/>
              <w:rPr>
                <w:rFonts w:asciiTheme="minorHAnsi" w:hAnsiTheme="minorHAnsi" w:cstheme="minorBidi"/>
                <w:b/>
                <w:bCs/>
                <w:color w:val="339966"/>
                <w:szCs w:val="24"/>
              </w:rPr>
            </w:pPr>
          </w:p>
          <w:p w14:paraId="3F3DBD34" w14:textId="023E55C0" w:rsidR="00072B22" w:rsidRPr="00072B22" w:rsidRDefault="00072B22" w:rsidP="35283E35">
            <w:pPr>
              <w:keepNext/>
              <w:jc w:val="left"/>
              <w:rPr>
                <w:rFonts w:asciiTheme="minorHAnsi" w:hAnsiTheme="minorHAnsi" w:cstheme="minorBidi"/>
                <w:b/>
                <w:bCs/>
                <w:color w:val="339966"/>
                <w:szCs w:val="24"/>
              </w:rPr>
            </w:pPr>
            <w:r w:rsidRPr="35283E35">
              <w:rPr>
                <w:rFonts w:asciiTheme="minorHAnsi" w:hAnsiTheme="minorHAnsi" w:cstheme="minorBidi"/>
                <w:b/>
                <w:bCs/>
                <w:color w:val="339966"/>
                <w:szCs w:val="24"/>
              </w:rPr>
              <w:t>2.</w:t>
            </w:r>
            <w:r w:rsidR="000D6C67" w:rsidRPr="35283E35">
              <w:rPr>
                <w:rFonts w:asciiTheme="minorHAnsi" w:hAnsiTheme="minorHAnsi" w:cstheme="minorBidi"/>
                <w:b/>
                <w:bCs/>
                <w:color w:val="339966"/>
                <w:szCs w:val="24"/>
              </w:rPr>
              <w:t>7</w:t>
            </w:r>
            <w:r w:rsidRPr="35283E35">
              <w:rPr>
                <w:rFonts w:asciiTheme="minorHAnsi" w:hAnsiTheme="minorHAnsi" w:cstheme="minorBidi"/>
                <w:b/>
                <w:bCs/>
                <w:color w:val="339966"/>
                <w:szCs w:val="24"/>
              </w:rPr>
              <w:t xml:space="preserve"> Interdependencies with other services</w:t>
            </w:r>
          </w:p>
          <w:p w14:paraId="3E904FE7" w14:textId="77777777" w:rsidR="00072B22" w:rsidRDefault="00072B22" w:rsidP="35283E35">
            <w:pPr>
              <w:jc w:val="left"/>
              <w:rPr>
                <w:rFonts w:asciiTheme="minorHAnsi" w:hAnsiTheme="minorHAnsi" w:cstheme="minorBidi"/>
                <w:szCs w:val="24"/>
              </w:rPr>
            </w:pPr>
            <w:r w:rsidRPr="35283E35">
              <w:rPr>
                <w:rFonts w:asciiTheme="minorHAnsi" w:hAnsiTheme="minorHAnsi" w:cstheme="minorBidi"/>
                <w:szCs w:val="24"/>
              </w:rPr>
              <w:t xml:space="preserve">The Service is required to work with and refer to wider partner organisations to address the needs of service users and increase the opportunity for service users to achieve optimum sexual health outcomes. </w:t>
            </w:r>
          </w:p>
          <w:p w14:paraId="4EDECDE8" w14:textId="0A62C74B" w:rsidR="00966EAE" w:rsidRPr="001E4971" w:rsidRDefault="00966EAE" w:rsidP="35283E35">
            <w:pPr>
              <w:pStyle w:val="ListParagraph"/>
              <w:numPr>
                <w:ilvl w:val="0"/>
                <w:numId w:val="41"/>
              </w:numPr>
              <w:suppressAutoHyphens/>
              <w:spacing w:after="0" w:line="240" w:lineRule="auto"/>
              <w:rPr>
                <w:rFonts w:ascii="Calibri" w:hAnsi="Calibri" w:cs="Calibri"/>
                <w:b/>
                <w:bCs/>
                <w:color w:val="FF0000"/>
                <w:sz w:val="24"/>
                <w:szCs w:val="24"/>
              </w:rPr>
            </w:pPr>
            <w:r w:rsidRPr="35283E35">
              <w:rPr>
                <w:rFonts w:ascii="Calibri" w:hAnsi="Calibri" w:cs="Calibri"/>
                <w:sz w:val="24"/>
                <w:szCs w:val="24"/>
              </w:rPr>
              <w:t xml:space="preserve">Practices should signpost patients to the </w:t>
            </w:r>
            <w:r w:rsidR="00985A5D">
              <w:rPr>
                <w:rFonts w:ascii="Calibri" w:hAnsi="Calibri" w:cs="Calibri"/>
                <w:sz w:val="24"/>
                <w:szCs w:val="24"/>
              </w:rPr>
              <w:t>Yuno</w:t>
            </w:r>
            <w:r w:rsidRPr="35283E35">
              <w:rPr>
                <w:rFonts w:ascii="Calibri" w:hAnsi="Calibri" w:cs="Calibri"/>
                <w:sz w:val="24"/>
                <w:szCs w:val="24"/>
              </w:rPr>
              <w:t xml:space="preserve"> website for:</w:t>
            </w:r>
          </w:p>
          <w:p w14:paraId="548E0B0E" w14:textId="77777777" w:rsidR="00966EAE" w:rsidRPr="001E4971" w:rsidRDefault="00966EAE" w:rsidP="35283E35">
            <w:pPr>
              <w:pStyle w:val="ListParagraph"/>
              <w:numPr>
                <w:ilvl w:val="1"/>
                <w:numId w:val="41"/>
              </w:numPr>
              <w:suppressAutoHyphens/>
              <w:spacing w:after="0" w:line="240" w:lineRule="auto"/>
              <w:rPr>
                <w:rFonts w:ascii="Calibri" w:hAnsi="Calibri" w:cs="Calibri"/>
                <w:b/>
                <w:bCs/>
                <w:color w:val="FF0000"/>
                <w:sz w:val="24"/>
                <w:szCs w:val="24"/>
              </w:rPr>
            </w:pPr>
            <w:r w:rsidRPr="35283E35">
              <w:rPr>
                <w:rFonts w:ascii="Calibri" w:hAnsi="Calibri" w:cs="Calibri"/>
                <w:sz w:val="24"/>
                <w:szCs w:val="24"/>
              </w:rPr>
              <w:t>Free STI testing and treatment.</w:t>
            </w:r>
          </w:p>
          <w:p w14:paraId="684B06C1" w14:textId="0A843E46" w:rsidR="00966EAE" w:rsidRPr="001E4971" w:rsidRDefault="00966EAE" w:rsidP="35283E35">
            <w:pPr>
              <w:pStyle w:val="ListParagraph"/>
              <w:numPr>
                <w:ilvl w:val="1"/>
                <w:numId w:val="41"/>
              </w:numPr>
              <w:suppressAutoHyphens/>
              <w:spacing w:after="0" w:line="240" w:lineRule="auto"/>
              <w:rPr>
                <w:rFonts w:ascii="Calibri" w:hAnsi="Calibri" w:cs="Calibri"/>
                <w:color w:val="0563C1"/>
                <w:sz w:val="24"/>
                <w:szCs w:val="24"/>
                <w:u w:val="single"/>
              </w:rPr>
            </w:pPr>
            <w:r w:rsidRPr="35283E35">
              <w:rPr>
                <w:rFonts w:ascii="Calibri" w:hAnsi="Calibri" w:cs="Calibri"/>
                <w:sz w:val="24"/>
                <w:szCs w:val="24"/>
              </w:rPr>
              <w:t>Free condoms for i</w:t>
            </w:r>
            <w:r w:rsidRPr="35283E35">
              <w:rPr>
                <w:rFonts w:ascii="Calibri" w:hAnsi="Calibri" w:cs="Calibri"/>
                <w:color w:val="000000" w:themeColor="text1"/>
                <w:sz w:val="24"/>
                <w:szCs w:val="24"/>
              </w:rPr>
              <w:t>ndividuals aged 13 to 24.</w:t>
            </w:r>
          </w:p>
          <w:p w14:paraId="188C04E0" w14:textId="5DD94164" w:rsidR="00F57B1F" w:rsidRPr="00F57B1F" w:rsidRDefault="00966EAE" w:rsidP="00F57B1F">
            <w:pPr>
              <w:pStyle w:val="ListParagraph"/>
              <w:numPr>
                <w:ilvl w:val="1"/>
                <w:numId w:val="41"/>
              </w:numPr>
              <w:suppressAutoHyphens/>
              <w:spacing w:after="0" w:line="240" w:lineRule="auto"/>
              <w:rPr>
                <w:rFonts w:ascii="Calibri" w:hAnsi="Calibri" w:cs="Calibri"/>
                <w:color w:val="0563C1"/>
                <w:sz w:val="24"/>
                <w:szCs w:val="24"/>
                <w:u w:val="single"/>
              </w:rPr>
            </w:pPr>
            <w:r w:rsidRPr="35283E35">
              <w:rPr>
                <w:rFonts w:ascii="Calibri" w:hAnsi="Calibri" w:cs="Calibri"/>
                <w:sz w:val="24"/>
                <w:szCs w:val="24"/>
              </w:rPr>
              <w:t>Pre-exposure prophylaxis (PrEP) for HIV prevention</w:t>
            </w:r>
            <w:r w:rsidR="00F57B1F">
              <w:rPr>
                <w:rFonts w:ascii="Calibri" w:hAnsi="Calibri" w:cs="Calibri"/>
                <w:sz w:val="24"/>
                <w:szCs w:val="24"/>
              </w:rPr>
              <w:t>.</w:t>
            </w:r>
          </w:p>
          <w:p w14:paraId="56C315A0" w14:textId="77777777" w:rsidR="00072B22" w:rsidRPr="00072B22" w:rsidRDefault="00072B22" w:rsidP="35283E35">
            <w:pPr>
              <w:jc w:val="left"/>
              <w:rPr>
                <w:rFonts w:asciiTheme="minorHAnsi" w:hAnsiTheme="minorHAnsi" w:cstheme="minorBidi"/>
                <w:b/>
                <w:bCs/>
                <w:color w:val="339966"/>
                <w:szCs w:val="24"/>
              </w:rPr>
            </w:pPr>
          </w:p>
          <w:p w14:paraId="15218574" w14:textId="67A2F6CA" w:rsidR="00072B22" w:rsidRPr="00072B22" w:rsidRDefault="00072B22" w:rsidP="35283E35">
            <w:pPr>
              <w:jc w:val="left"/>
              <w:rPr>
                <w:rFonts w:asciiTheme="minorHAnsi" w:eastAsia="MS ??" w:hAnsiTheme="minorHAnsi" w:cstheme="minorBidi"/>
                <w:szCs w:val="24"/>
              </w:rPr>
            </w:pPr>
            <w:r w:rsidRPr="35283E35">
              <w:rPr>
                <w:rFonts w:asciiTheme="minorHAnsi" w:hAnsiTheme="minorHAnsi" w:cstheme="minorBidi"/>
                <w:b/>
                <w:bCs/>
                <w:color w:val="339966"/>
                <w:szCs w:val="24"/>
              </w:rPr>
              <w:t>2.</w:t>
            </w:r>
            <w:r w:rsidR="000D6C67" w:rsidRPr="35283E35">
              <w:rPr>
                <w:rFonts w:asciiTheme="minorHAnsi" w:hAnsiTheme="minorHAnsi" w:cstheme="minorBidi"/>
                <w:b/>
                <w:bCs/>
                <w:color w:val="339966"/>
                <w:szCs w:val="24"/>
              </w:rPr>
              <w:t>8</w:t>
            </w:r>
            <w:r w:rsidRPr="35283E35">
              <w:rPr>
                <w:rFonts w:asciiTheme="minorHAnsi" w:hAnsiTheme="minorHAnsi" w:cstheme="minorBidi"/>
                <w:b/>
                <w:bCs/>
                <w:color w:val="339966"/>
                <w:szCs w:val="24"/>
              </w:rPr>
              <w:t xml:space="preserve"> Activity planning assumptions</w:t>
            </w:r>
            <w:r w:rsidRPr="35283E35">
              <w:rPr>
                <w:rFonts w:asciiTheme="minorHAnsi" w:eastAsia="MS ??" w:hAnsiTheme="minorHAnsi" w:cstheme="minorBidi"/>
                <w:szCs w:val="24"/>
              </w:rPr>
              <w:t xml:space="preserve"> </w:t>
            </w:r>
          </w:p>
          <w:p w14:paraId="3FC8C269" w14:textId="1B1033FC" w:rsidR="003215C4" w:rsidRDefault="00072B22" w:rsidP="35283E35">
            <w:pPr>
              <w:jc w:val="left"/>
              <w:rPr>
                <w:rFonts w:asciiTheme="minorHAnsi" w:hAnsiTheme="minorHAnsi" w:cstheme="minorBidi"/>
                <w:szCs w:val="24"/>
              </w:rPr>
            </w:pPr>
            <w:r w:rsidRPr="35283E35">
              <w:rPr>
                <w:rFonts w:asciiTheme="minorHAnsi" w:eastAsia="MS ??" w:hAnsiTheme="minorHAnsi" w:cstheme="minorBidi"/>
                <w:szCs w:val="24"/>
              </w:rPr>
              <w:t>The service should be available during the practice opening hours.</w:t>
            </w:r>
          </w:p>
          <w:p w14:paraId="3A4E2216" w14:textId="77777777" w:rsidR="003215C4" w:rsidRDefault="003215C4" w:rsidP="35283E35">
            <w:pPr>
              <w:jc w:val="left"/>
              <w:rPr>
                <w:rFonts w:asciiTheme="minorHAnsi" w:hAnsiTheme="minorHAnsi" w:cstheme="minorBidi"/>
                <w:szCs w:val="24"/>
              </w:rPr>
            </w:pPr>
          </w:p>
          <w:p w14:paraId="7C3FBDC0" w14:textId="77777777" w:rsidR="003215C4" w:rsidRPr="00072B22" w:rsidRDefault="003215C4" w:rsidP="35283E35">
            <w:pPr>
              <w:jc w:val="left"/>
              <w:rPr>
                <w:rFonts w:asciiTheme="minorHAnsi" w:hAnsiTheme="minorHAnsi" w:cstheme="minorBidi"/>
                <w:szCs w:val="24"/>
              </w:rPr>
            </w:pPr>
          </w:p>
        </w:tc>
      </w:tr>
      <w:tr w:rsidR="00072B22" w:rsidRPr="00072B22" w14:paraId="74BF99D3"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7" w:type="dxa"/>
            <w:gridSpan w:val="2"/>
            <w:tcBorders>
              <w:top w:val="single" w:sz="4" w:space="0" w:color="999999"/>
              <w:left w:val="single" w:sz="4" w:space="0" w:color="999999"/>
              <w:bottom w:val="single" w:sz="4" w:space="0" w:color="999999"/>
              <w:right w:val="single" w:sz="4" w:space="0" w:color="999999"/>
            </w:tcBorders>
            <w:shd w:val="clear" w:color="auto" w:fill="666666"/>
          </w:tcPr>
          <w:p w14:paraId="4B4D4287" w14:textId="77777777" w:rsidR="00072B22" w:rsidRPr="00072B22" w:rsidRDefault="00072B22" w:rsidP="35283E35">
            <w:pPr>
              <w:suppressAutoHyphens w:val="0"/>
              <w:jc w:val="left"/>
              <w:rPr>
                <w:rFonts w:asciiTheme="minorHAnsi" w:eastAsia="MS ??" w:hAnsiTheme="minorHAnsi" w:cstheme="minorBidi"/>
                <w:color w:val="FFFFFF"/>
                <w:szCs w:val="24"/>
              </w:rPr>
            </w:pPr>
          </w:p>
          <w:p w14:paraId="6DFE2116" w14:textId="77777777" w:rsidR="00072B22" w:rsidRPr="00072B22" w:rsidRDefault="00072B22" w:rsidP="5160D0DF">
            <w:pPr>
              <w:suppressAutoHyphens w:val="0"/>
              <w:jc w:val="left"/>
              <w:rPr>
                <w:rFonts w:asciiTheme="minorHAnsi" w:eastAsia="MS ??" w:hAnsiTheme="minorHAnsi" w:cstheme="minorBidi"/>
                <w:b/>
                <w:bCs/>
                <w:color w:val="FFC000"/>
              </w:rPr>
            </w:pPr>
            <w:r w:rsidRPr="5160D0DF">
              <w:rPr>
                <w:rFonts w:asciiTheme="minorHAnsi" w:eastAsia="MS ??" w:hAnsiTheme="minorHAnsi" w:cstheme="minorBidi"/>
                <w:b/>
                <w:bCs/>
                <w:color w:val="FFC000" w:themeColor="accent4"/>
              </w:rPr>
              <w:t>3. Applicable Service Standards &amp; Clinical Governance Requirements</w:t>
            </w:r>
          </w:p>
          <w:p w14:paraId="49484659" w14:textId="77777777" w:rsidR="00072B22" w:rsidRPr="00072B22" w:rsidRDefault="00072B22" w:rsidP="35283E35">
            <w:pPr>
              <w:suppressAutoHyphens w:val="0"/>
              <w:jc w:val="left"/>
              <w:rPr>
                <w:rFonts w:asciiTheme="minorHAnsi" w:eastAsia="MS ??" w:hAnsiTheme="minorHAnsi" w:cstheme="minorBidi"/>
                <w:color w:val="FFFFFF"/>
                <w:szCs w:val="24"/>
              </w:rPr>
            </w:pPr>
          </w:p>
        </w:tc>
      </w:tr>
      <w:tr w:rsidR="00072B22" w:rsidRPr="00072B22" w14:paraId="493049FB"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9017" w:type="dxa"/>
            <w:gridSpan w:val="2"/>
            <w:tcBorders>
              <w:top w:val="single" w:sz="4" w:space="0" w:color="999999"/>
              <w:left w:val="single" w:sz="4" w:space="0" w:color="999999"/>
              <w:bottom w:val="single" w:sz="4" w:space="0" w:color="999999"/>
              <w:right w:val="single" w:sz="4" w:space="0" w:color="999999"/>
            </w:tcBorders>
          </w:tcPr>
          <w:p w14:paraId="757D1727" w14:textId="39063D7C" w:rsidR="00072B22" w:rsidRPr="00072B22" w:rsidRDefault="00072B22" w:rsidP="35283E35">
            <w:pPr>
              <w:suppressAutoHyphens w:val="0"/>
              <w:jc w:val="left"/>
              <w:rPr>
                <w:rFonts w:asciiTheme="minorHAnsi" w:eastAsia="MS ??" w:hAnsiTheme="minorHAnsi" w:cstheme="minorBidi"/>
                <w:b/>
                <w:bCs/>
                <w:color w:val="339966"/>
                <w:szCs w:val="24"/>
              </w:rPr>
            </w:pPr>
            <w:r w:rsidRPr="35283E35">
              <w:rPr>
                <w:rFonts w:asciiTheme="minorHAnsi" w:eastAsia="MS ??" w:hAnsiTheme="minorHAnsi" w:cstheme="minorBidi"/>
                <w:b/>
                <w:bCs/>
                <w:color w:val="339966"/>
                <w:szCs w:val="24"/>
              </w:rPr>
              <w:t xml:space="preserve">3.1 </w:t>
            </w:r>
            <w:r w:rsidRPr="35283E35">
              <w:rPr>
                <w:rFonts w:asciiTheme="minorHAnsi" w:hAnsiTheme="minorHAnsi" w:cstheme="minorBidi"/>
                <w:b/>
                <w:bCs/>
                <w:color w:val="339966"/>
                <w:szCs w:val="24"/>
              </w:rPr>
              <w:t>Clinical Effectiveness &amp; Research-</w:t>
            </w:r>
            <w:r w:rsidRPr="35283E35">
              <w:rPr>
                <w:rFonts w:asciiTheme="minorHAnsi" w:eastAsia="MS ??" w:hAnsiTheme="minorHAnsi" w:cstheme="minorBidi"/>
                <w:b/>
                <w:bCs/>
                <w:color w:val="339966"/>
                <w:szCs w:val="24"/>
              </w:rPr>
              <w:t>Applicable national &amp; local standards</w:t>
            </w:r>
          </w:p>
          <w:p w14:paraId="78DE85A6" w14:textId="2E74F1A9" w:rsidR="00966EAE" w:rsidRPr="00966EAE" w:rsidRDefault="00966EAE" w:rsidP="35283E35">
            <w:pPr>
              <w:pStyle w:val="BodyText"/>
              <w:suppressAutoHyphens w:val="0"/>
              <w:spacing w:after="0"/>
              <w:jc w:val="left"/>
              <w:rPr>
                <w:rFonts w:ascii="Calibri" w:hAnsi="Calibri" w:cs="Calibri"/>
                <w:szCs w:val="24"/>
              </w:rPr>
            </w:pPr>
            <w:r w:rsidRPr="35283E35">
              <w:rPr>
                <w:rFonts w:ascii="Calibri" w:hAnsi="Calibri" w:cs="Calibri"/>
                <w:szCs w:val="24"/>
              </w:rPr>
              <w:t>GP practices signed up to this service are expected to operate in line with most recent guidance and established clinical practice:</w:t>
            </w:r>
          </w:p>
          <w:p w14:paraId="0BBA1ACF"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r w:rsidRPr="35283E35">
              <w:rPr>
                <w:rFonts w:ascii="Calibri" w:eastAsia="MS ??" w:hAnsi="Calibri" w:cs="Calibri"/>
                <w:sz w:val="24"/>
                <w:szCs w:val="24"/>
              </w:rPr>
              <w:t xml:space="preserve">The service will be provided in compliance with </w:t>
            </w:r>
            <w:r w:rsidRPr="35283E35">
              <w:rPr>
                <w:rFonts w:ascii="Calibri" w:hAnsi="Calibri" w:cs="Calibri"/>
                <w:sz w:val="24"/>
                <w:szCs w:val="24"/>
              </w:rPr>
              <w:t xml:space="preserve">all </w:t>
            </w:r>
            <w:r w:rsidRPr="35283E35">
              <w:rPr>
                <w:rFonts w:ascii="Calibri" w:hAnsi="Calibri" w:cs="Calibri"/>
                <w:b/>
                <w:bCs/>
                <w:sz w:val="24"/>
                <w:szCs w:val="24"/>
              </w:rPr>
              <w:t>safeguarding protocols</w:t>
            </w:r>
            <w:r w:rsidRPr="35283E35">
              <w:rPr>
                <w:rFonts w:ascii="Calibri" w:hAnsi="Calibri" w:cs="Calibri"/>
                <w:sz w:val="24"/>
                <w:szCs w:val="24"/>
              </w:rPr>
              <w:t xml:space="preserve">, including:  </w:t>
            </w:r>
            <w:hyperlink r:id="rId41">
              <w:r w:rsidRPr="35283E35">
                <w:rPr>
                  <w:rStyle w:val="Hyperlink"/>
                  <w:rFonts w:ascii="Calibri" w:hAnsi="Calibri" w:cs="Calibri"/>
                  <w:sz w:val="24"/>
                  <w:szCs w:val="24"/>
                </w:rPr>
                <w:t>Fraser Guidelines</w:t>
              </w:r>
            </w:hyperlink>
            <w:r w:rsidRPr="35283E35">
              <w:rPr>
                <w:rStyle w:val="Hyperlink"/>
                <w:rFonts w:ascii="Calibri" w:hAnsi="Calibri" w:cs="Calibri"/>
                <w:sz w:val="24"/>
                <w:szCs w:val="24"/>
              </w:rPr>
              <w:t xml:space="preserve">, </w:t>
            </w:r>
            <w:hyperlink r:id="rId42">
              <w:r w:rsidRPr="35283E35">
                <w:rPr>
                  <w:rStyle w:val="Hyperlink"/>
                  <w:rFonts w:ascii="Calibri" w:eastAsia="MS ??" w:hAnsi="Calibri" w:cs="Calibri"/>
                  <w:sz w:val="24"/>
                  <w:szCs w:val="24"/>
                </w:rPr>
                <w:t>BNSSG safeguarding information</w:t>
              </w:r>
            </w:hyperlink>
            <w:r w:rsidRPr="35283E35">
              <w:rPr>
                <w:rStyle w:val="Hyperlink"/>
                <w:rFonts w:ascii="Calibri" w:eastAsia="MS ??" w:hAnsi="Calibri" w:cs="Calibri"/>
                <w:sz w:val="24"/>
                <w:szCs w:val="24"/>
              </w:rPr>
              <w:t xml:space="preserve">, </w:t>
            </w:r>
            <w:hyperlink r:id="rId43">
              <w:r w:rsidRPr="35283E35">
                <w:rPr>
                  <w:rStyle w:val="Hyperlink"/>
                  <w:rFonts w:ascii="Calibri" w:eastAsia="MS ??" w:hAnsi="Calibri" w:cs="Calibri"/>
                  <w:sz w:val="24"/>
                  <w:szCs w:val="24"/>
                </w:rPr>
                <w:t>Bichard checklist</w:t>
              </w:r>
            </w:hyperlink>
            <w:r w:rsidRPr="35283E35">
              <w:rPr>
                <w:rFonts w:ascii="Calibri" w:hAnsi="Calibri" w:cs="Calibri"/>
                <w:sz w:val="24"/>
                <w:szCs w:val="24"/>
              </w:rPr>
              <w:t xml:space="preserve"> and the </w:t>
            </w:r>
            <w:hyperlink r:id="rId44">
              <w:r w:rsidRPr="35283E35">
                <w:rPr>
                  <w:rStyle w:val="Hyperlink"/>
                  <w:rFonts w:ascii="Calibri" w:hAnsi="Calibri" w:cs="Calibri"/>
                  <w:sz w:val="24"/>
                  <w:szCs w:val="24"/>
                </w:rPr>
                <w:t>You’re Welcome, Young People Friendly (YPF) standards</w:t>
              </w:r>
            </w:hyperlink>
            <w:r w:rsidRPr="35283E35">
              <w:rPr>
                <w:rFonts w:ascii="Calibri" w:eastAsia="MS ??" w:hAnsi="Calibri" w:cs="Calibri"/>
                <w:sz w:val="24"/>
                <w:szCs w:val="24"/>
              </w:rPr>
              <w:t>.</w:t>
            </w:r>
          </w:p>
          <w:p w14:paraId="7DA32115"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r w:rsidRPr="35283E35">
              <w:rPr>
                <w:rFonts w:ascii="Calibri" w:hAnsi="Calibri" w:cs="Calibri"/>
                <w:sz w:val="24"/>
                <w:szCs w:val="24"/>
              </w:rPr>
              <w:t xml:space="preserve">National Institute for Health and Care Excellent (NICE) guidance: </w:t>
            </w:r>
            <w:hyperlink r:id="rId45">
              <w:r w:rsidRPr="35283E35">
                <w:rPr>
                  <w:rStyle w:val="Hyperlink"/>
                  <w:rFonts w:ascii="Calibri" w:hAnsi="Calibri" w:cs="Calibri"/>
                  <w:sz w:val="24"/>
                  <w:szCs w:val="24"/>
                </w:rPr>
                <w:t>Sexually transmitted infections</w:t>
              </w:r>
            </w:hyperlink>
            <w:r w:rsidRPr="35283E35">
              <w:rPr>
                <w:rFonts w:ascii="Calibri" w:hAnsi="Calibri" w:cs="Calibri"/>
                <w:sz w:val="24"/>
                <w:szCs w:val="24"/>
              </w:rPr>
              <w:t xml:space="preserve">: (NICE NG221). </w:t>
            </w:r>
          </w:p>
          <w:p w14:paraId="76391112" w14:textId="77777777" w:rsidR="00966EAE" w:rsidRPr="00966EAE" w:rsidRDefault="00966EAE" w:rsidP="35283E35">
            <w:pPr>
              <w:pStyle w:val="ListParagraph"/>
              <w:numPr>
                <w:ilvl w:val="0"/>
                <w:numId w:val="9"/>
              </w:numPr>
              <w:suppressAutoHyphens/>
              <w:spacing w:after="0" w:line="240" w:lineRule="auto"/>
              <w:rPr>
                <w:rStyle w:val="Hyperlink"/>
                <w:rFonts w:ascii="Calibri" w:eastAsia="MS ??" w:hAnsi="Calibri" w:cs="Calibri"/>
                <w:color w:val="auto"/>
                <w:sz w:val="24"/>
                <w:szCs w:val="24"/>
              </w:rPr>
            </w:pPr>
            <w:r w:rsidRPr="35283E35">
              <w:rPr>
                <w:rFonts w:ascii="Calibri" w:hAnsi="Calibri" w:cs="Calibri"/>
                <w:sz w:val="24"/>
                <w:szCs w:val="24"/>
              </w:rPr>
              <w:t xml:space="preserve">British Association for Sexual Health and HIV (BASHH): summary guidance on </w:t>
            </w:r>
            <w:hyperlink r:id="rId46" w:anchor=":~:text=All%20people%20attending%20sexual%20health%20services%20in%20line,if%20not%20known%20to%20be%20immune%20or%20vaccinated%29">
              <w:r w:rsidRPr="35283E35">
                <w:rPr>
                  <w:rStyle w:val="Hyperlink"/>
                  <w:rFonts w:ascii="Calibri" w:hAnsi="Calibri" w:cs="Calibri"/>
                  <w:sz w:val="24"/>
                  <w:szCs w:val="24"/>
                </w:rPr>
                <w:t>testing for Sexually Transmitted Infections 2023</w:t>
              </w:r>
            </w:hyperlink>
            <w:r w:rsidRPr="35283E35">
              <w:rPr>
                <w:rStyle w:val="Hyperlink"/>
                <w:rFonts w:ascii="Calibri" w:hAnsi="Calibri" w:cs="Calibri"/>
                <w:sz w:val="24"/>
                <w:szCs w:val="24"/>
              </w:rPr>
              <w:t>.</w:t>
            </w:r>
          </w:p>
          <w:p w14:paraId="0650D5DB"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r w:rsidRPr="35283E35">
              <w:rPr>
                <w:rFonts w:ascii="Calibri" w:hAnsi="Calibri" w:cs="Calibri"/>
                <w:sz w:val="24"/>
                <w:szCs w:val="24"/>
              </w:rPr>
              <w:t xml:space="preserve">BASHH guidance for guideline for the </w:t>
            </w:r>
            <w:hyperlink r:id="rId47">
              <w:r w:rsidRPr="35283E35">
                <w:rPr>
                  <w:rStyle w:val="Hyperlink"/>
                  <w:rFonts w:ascii="Calibri" w:hAnsi="Calibri" w:cs="Calibri"/>
                  <w:sz w:val="24"/>
                  <w:szCs w:val="24"/>
                </w:rPr>
                <w:t>management of infection with Chlamydia trachomatis</w:t>
              </w:r>
            </w:hyperlink>
            <w:r w:rsidRPr="35283E35">
              <w:rPr>
                <w:rFonts w:ascii="Calibri" w:hAnsi="Calibri" w:cs="Calibri"/>
                <w:sz w:val="24"/>
                <w:szCs w:val="24"/>
              </w:rPr>
              <w:t>.</w:t>
            </w:r>
          </w:p>
          <w:p w14:paraId="6628DED7" w14:textId="77777777" w:rsidR="00966EAE" w:rsidRPr="00966EAE" w:rsidRDefault="00966EAE" w:rsidP="35283E35">
            <w:pPr>
              <w:pStyle w:val="ListParagraph"/>
              <w:numPr>
                <w:ilvl w:val="0"/>
                <w:numId w:val="9"/>
              </w:numPr>
              <w:suppressAutoHyphens/>
              <w:spacing w:after="0" w:line="240" w:lineRule="auto"/>
              <w:rPr>
                <w:rStyle w:val="Hyperlink"/>
                <w:rFonts w:ascii="Calibri" w:eastAsia="MS ??" w:hAnsi="Calibri" w:cs="Calibri"/>
                <w:color w:val="auto"/>
                <w:sz w:val="24"/>
                <w:szCs w:val="24"/>
              </w:rPr>
            </w:pPr>
            <w:r w:rsidRPr="35283E35">
              <w:rPr>
                <w:rFonts w:ascii="Calibri" w:hAnsi="Calibri" w:cs="Calibri"/>
                <w:sz w:val="24"/>
                <w:szCs w:val="24"/>
              </w:rPr>
              <w:t xml:space="preserve">National Chlamydia Screening Programme overview </w:t>
            </w:r>
            <w:hyperlink r:id="rId48">
              <w:r w:rsidRPr="35283E35">
                <w:rPr>
                  <w:rStyle w:val="Hyperlink"/>
                  <w:rFonts w:ascii="Calibri" w:hAnsi="Calibri" w:cs="Calibri"/>
                  <w:sz w:val="24"/>
                  <w:szCs w:val="24"/>
                </w:rPr>
                <w:t>NCSP: programme overview - GOV.UK</w:t>
              </w:r>
            </w:hyperlink>
            <w:r w:rsidRPr="35283E35">
              <w:rPr>
                <w:rStyle w:val="Hyperlink"/>
                <w:rFonts w:ascii="Calibri" w:hAnsi="Calibri" w:cs="Calibri"/>
                <w:sz w:val="24"/>
                <w:szCs w:val="24"/>
              </w:rPr>
              <w:t>.</w:t>
            </w:r>
          </w:p>
          <w:p w14:paraId="48F9C55B"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hyperlink r:id="rId49">
              <w:r w:rsidRPr="35283E35">
                <w:rPr>
                  <w:rStyle w:val="Hyperlink"/>
                  <w:rFonts w:ascii="Calibri" w:hAnsi="Calibri" w:cs="Calibri"/>
                  <w:sz w:val="24"/>
                  <w:szCs w:val="24"/>
                </w:rPr>
                <w:t>BASHH guidance for young people 2021</w:t>
              </w:r>
            </w:hyperlink>
            <w:r w:rsidRPr="35283E35">
              <w:rPr>
                <w:rFonts w:ascii="Calibri" w:hAnsi="Calibri" w:cs="Calibri"/>
                <w:sz w:val="24"/>
                <w:szCs w:val="24"/>
              </w:rPr>
              <w:t>.</w:t>
            </w:r>
          </w:p>
          <w:p w14:paraId="31151970"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r w:rsidRPr="35283E35">
              <w:rPr>
                <w:rFonts w:ascii="Calibri" w:hAnsi="Calibri" w:cs="Calibri"/>
                <w:sz w:val="24"/>
                <w:szCs w:val="24"/>
              </w:rPr>
              <w:t xml:space="preserve">NICE guidance for </w:t>
            </w:r>
            <w:hyperlink r:id="rId50">
              <w:r w:rsidRPr="35283E35">
                <w:rPr>
                  <w:rStyle w:val="Hyperlink"/>
                  <w:rFonts w:ascii="Calibri" w:hAnsi="Calibri" w:cs="Calibri"/>
                  <w:sz w:val="24"/>
                  <w:szCs w:val="24"/>
                </w:rPr>
                <w:t>chlamydia</w:t>
              </w:r>
            </w:hyperlink>
            <w:r w:rsidRPr="35283E35">
              <w:rPr>
                <w:rFonts w:ascii="Calibri" w:hAnsi="Calibri" w:cs="Calibri"/>
                <w:sz w:val="24"/>
                <w:szCs w:val="24"/>
              </w:rPr>
              <w:t xml:space="preserve"> and </w:t>
            </w:r>
            <w:hyperlink r:id="rId51">
              <w:r w:rsidRPr="35283E35">
                <w:rPr>
                  <w:rStyle w:val="Hyperlink"/>
                  <w:rFonts w:ascii="Calibri" w:hAnsi="Calibri" w:cs="Calibri"/>
                  <w:sz w:val="24"/>
                  <w:szCs w:val="24"/>
                </w:rPr>
                <w:t>gonorrhoea</w:t>
              </w:r>
            </w:hyperlink>
            <w:r w:rsidRPr="35283E35">
              <w:rPr>
                <w:rFonts w:ascii="Calibri" w:hAnsi="Calibri" w:cs="Calibri"/>
                <w:sz w:val="24"/>
                <w:szCs w:val="24"/>
              </w:rPr>
              <w:t>.</w:t>
            </w:r>
          </w:p>
          <w:p w14:paraId="117DAE50" w14:textId="77777777" w:rsidR="00966EAE" w:rsidRPr="00966EAE" w:rsidRDefault="00966EAE" w:rsidP="35283E35">
            <w:pPr>
              <w:pStyle w:val="ListParagraph"/>
              <w:numPr>
                <w:ilvl w:val="0"/>
                <w:numId w:val="9"/>
              </w:numPr>
              <w:suppressAutoHyphens/>
              <w:spacing w:after="0" w:line="240" w:lineRule="auto"/>
              <w:rPr>
                <w:rFonts w:ascii="Calibri" w:eastAsia="MS ??" w:hAnsi="Calibri" w:cs="Calibri"/>
                <w:sz w:val="24"/>
                <w:szCs w:val="24"/>
              </w:rPr>
            </w:pPr>
            <w:r w:rsidRPr="35283E35">
              <w:rPr>
                <w:rFonts w:ascii="Calibri" w:hAnsi="Calibri" w:cs="Calibri"/>
                <w:sz w:val="24"/>
                <w:szCs w:val="24"/>
              </w:rPr>
              <w:t xml:space="preserve">Remedy guidance for </w:t>
            </w:r>
            <w:hyperlink r:id="rId52">
              <w:r w:rsidRPr="35283E35">
                <w:rPr>
                  <w:rStyle w:val="Hyperlink"/>
                  <w:rFonts w:ascii="Calibri" w:hAnsi="Calibri" w:cs="Calibri"/>
                  <w:sz w:val="24"/>
                  <w:szCs w:val="24"/>
                </w:rPr>
                <w:t>gonorrhoea</w:t>
              </w:r>
            </w:hyperlink>
            <w:r w:rsidRPr="35283E35">
              <w:rPr>
                <w:rFonts w:ascii="Calibri" w:hAnsi="Calibri" w:cs="Calibri"/>
                <w:sz w:val="24"/>
                <w:szCs w:val="24"/>
              </w:rPr>
              <w:t>.</w:t>
            </w:r>
          </w:p>
          <w:p w14:paraId="7E486FF1" w14:textId="77777777" w:rsidR="00072B22" w:rsidRDefault="00072B22" w:rsidP="35283E35">
            <w:pPr>
              <w:suppressAutoHyphens w:val="0"/>
              <w:jc w:val="left"/>
              <w:rPr>
                <w:rFonts w:asciiTheme="minorHAnsi" w:eastAsia="MS ??" w:hAnsiTheme="minorHAnsi" w:cstheme="minorBidi"/>
                <w:b/>
                <w:bCs/>
                <w:color w:val="339966"/>
                <w:szCs w:val="24"/>
              </w:rPr>
            </w:pPr>
          </w:p>
          <w:p w14:paraId="41690115" w14:textId="5E7995AC" w:rsidR="0011009A" w:rsidRDefault="0011009A" w:rsidP="35283E35">
            <w:pPr>
              <w:suppressAutoHyphens w:val="0"/>
              <w:jc w:val="left"/>
              <w:rPr>
                <w:rFonts w:asciiTheme="minorHAnsi" w:eastAsia="MS ??" w:hAnsiTheme="minorHAnsi" w:cstheme="minorBidi"/>
                <w:b/>
                <w:bCs/>
                <w:color w:val="339966"/>
                <w:szCs w:val="24"/>
              </w:rPr>
            </w:pPr>
            <w:r w:rsidRPr="35283E35">
              <w:rPr>
                <w:rFonts w:ascii="Calibri" w:hAnsi="Calibri" w:cs="Calibri"/>
                <w:szCs w:val="24"/>
              </w:rPr>
              <w:t>Whilst this document includes guidance current at the time of publication, practices must ensure that services reflect updates in guidance, best practice and recommendations as and when they are produced</w:t>
            </w:r>
            <w:r w:rsidR="00F00A0E">
              <w:rPr>
                <w:rFonts w:ascii="Calibri" w:hAnsi="Calibri" w:cs="Calibri"/>
                <w:szCs w:val="24"/>
              </w:rPr>
              <w:t>.</w:t>
            </w:r>
          </w:p>
          <w:p w14:paraId="6E0BAF61" w14:textId="77777777" w:rsidR="0011009A" w:rsidRPr="00072B22" w:rsidRDefault="0011009A" w:rsidP="35283E35">
            <w:pPr>
              <w:suppressAutoHyphens w:val="0"/>
              <w:jc w:val="left"/>
              <w:rPr>
                <w:rFonts w:asciiTheme="minorHAnsi" w:eastAsia="MS ??" w:hAnsiTheme="minorHAnsi" w:cstheme="minorBidi"/>
                <w:b/>
                <w:bCs/>
                <w:color w:val="339966"/>
                <w:szCs w:val="24"/>
              </w:rPr>
            </w:pPr>
          </w:p>
          <w:p w14:paraId="3BFB6032" w14:textId="77777777" w:rsidR="00072B22" w:rsidRPr="00072B22" w:rsidRDefault="00072B22" w:rsidP="35283E35">
            <w:pPr>
              <w:suppressAutoHyphens w:val="0"/>
              <w:jc w:val="left"/>
              <w:rPr>
                <w:rFonts w:asciiTheme="minorHAnsi" w:eastAsia="MS ??" w:hAnsiTheme="minorHAnsi" w:cstheme="minorBidi"/>
                <w:b/>
                <w:bCs/>
                <w:color w:val="339966"/>
                <w:szCs w:val="24"/>
              </w:rPr>
            </w:pPr>
            <w:r w:rsidRPr="35283E35">
              <w:rPr>
                <w:rFonts w:asciiTheme="minorHAnsi" w:eastAsia="MS ??" w:hAnsiTheme="minorHAnsi" w:cstheme="minorBidi"/>
                <w:b/>
                <w:bCs/>
                <w:color w:val="339966"/>
                <w:szCs w:val="24"/>
              </w:rPr>
              <w:t>3.2 Audit</w:t>
            </w:r>
          </w:p>
          <w:p w14:paraId="35A62A84" w14:textId="77777777" w:rsidR="00072B22" w:rsidRPr="00072B22" w:rsidRDefault="00072B22" w:rsidP="35283E35">
            <w:pPr>
              <w:numPr>
                <w:ilvl w:val="0"/>
                <w:numId w:val="13"/>
              </w:numPr>
              <w:suppressAutoHyphens w:val="0"/>
              <w:contextualSpacing/>
              <w:jc w:val="left"/>
              <w:rPr>
                <w:rFonts w:asciiTheme="minorHAnsi" w:hAnsiTheme="minorHAnsi" w:cstheme="minorBidi"/>
                <w:szCs w:val="24"/>
              </w:rPr>
            </w:pPr>
            <w:r w:rsidRPr="35283E35">
              <w:rPr>
                <w:rFonts w:asciiTheme="minorHAnsi" w:hAnsiTheme="minorHAnsi" w:cstheme="minorBidi"/>
                <w:szCs w:val="24"/>
              </w:rPr>
              <w:t>Providers will take part in the CQC national inspection.</w:t>
            </w:r>
          </w:p>
          <w:p w14:paraId="42B9E750" w14:textId="77777777" w:rsidR="00072B22" w:rsidRPr="00072B22" w:rsidRDefault="00072B22" w:rsidP="35283E35">
            <w:pPr>
              <w:numPr>
                <w:ilvl w:val="0"/>
                <w:numId w:val="13"/>
              </w:numPr>
              <w:suppressAutoHyphens w:val="0"/>
              <w:contextualSpacing/>
              <w:jc w:val="left"/>
              <w:rPr>
                <w:rFonts w:asciiTheme="minorHAnsi" w:eastAsia="Calibri" w:hAnsiTheme="minorHAnsi" w:cstheme="minorBidi"/>
                <w:szCs w:val="24"/>
              </w:rPr>
            </w:pPr>
            <w:r w:rsidRPr="35283E35">
              <w:rPr>
                <w:rFonts w:asciiTheme="minorHAnsi" w:hAnsiTheme="minorHAnsi" w:cstheme="minorBidi"/>
                <w:szCs w:val="24"/>
              </w:rPr>
              <w:t>Practices will take part in public health audits as required.</w:t>
            </w:r>
          </w:p>
          <w:p w14:paraId="70EBCE56" w14:textId="77777777" w:rsidR="00072B22" w:rsidRPr="00072B22" w:rsidRDefault="00072B22" w:rsidP="35283E35">
            <w:pPr>
              <w:suppressAutoHyphens w:val="0"/>
              <w:jc w:val="left"/>
              <w:rPr>
                <w:rFonts w:asciiTheme="minorHAnsi" w:eastAsia="MS ??" w:hAnsiTheme="minorHAnsi" w:cstheme="minorBidi"/>
                <w:b/>
                <w:bCs/>
                <w:color w:val="339966"/>
                <w:szCs w:val="24"/>
              </w:rPr>
            </w:pPr>
          </w:p>
          <w:p w14:paraId="2157B720" w14:textId="77777777" w:rsidR="00072B22" w:rsidRPr="00072B22" w:rsidRDefault="00072B22" w:rsidP="35283E35">
            <w:pPr>
              <w:suppressAutoHyphens w:val="0"/>
              <w:jc w:val="left"/>
              <w:rPr>
                <w:rFonts w:asciiTheme="minorHAnsi" w:eastAsia="MS ??" w:hAnsiTheme="minorHAnsi" w:cstheme="minorBidi"/>
                <w:b/>
                <w:bCs/>
                <w:color w:val="339966"/>
                <w:szCs w:val="24"/>
              </w:rPr>
            </w:pPr>
            <w:r w:rsidRPr="35283E35">
              <w:rPr>
                <w:rFonts w:asciiTheme="minorHAnsi" w:eastAsia="MS ??" w:hAnsiTheme="minorHAnsi" w:cstheme="minorBidi"/>
                <w:b/>
                <w:bCs/>
                <w:color w:val="339966"/>
                <w:szCs w:val="24"/>
              </w:rPr>
              <w:t xml:space="preserve">3.3 Risk Management </w:t>
            </w:r>
          </w:p>
          <w:p w14:paraId="3D190018" w14:textId="77777777" w:rsidR="00072B22" w:rsidRDefault="00072B22" w:rsidP="35283E35">
            <w:pPr>
              <w:numPr>
                <w:ilvl w:val="0"/>
                <w:numId w:val="9"/>
              </w:numPr>
              <w:suppressAutoHyphens w:val="0"/>
              <w:jc w:val="left"/>
              <w:rPr>
                <w:rFonts w:asciiTheme="minorHAnsi" w:eastAsia="Calibri" w:hAnsiTheme="minorHAnsi" w:cstheme="minorBidi"/>
                <w:szCs w:val="24"/>
              </w:rPr>
            </w:pPr>
            <w:r w:rsidRPr="35283E35">
              <w:rPr>
                <w:rFonts w:asciiTheme="minorHAnsi" w:eastAsia="Calibri" w:hAnsiTheme="minorHAnsi" w:cstheme="minorBidi"/>
                <w:szCs w:val="24"/>
              </w:rPr>
              <w:lastRenderedPageBreak/>
              <w:t xml:space="preserve">Practices must comply with latest Infection Prevention Control (IPC) guidance. </w:t>
            </w:r>
          </w:p>
          <w:p w14:paraId="52E15C25" w14:textId="77777777" w:rsidR="00966EAE" w:rsidRPr="00966EAE" w:rsidRDefault="00966EAE" w:rsidP="35283E35">
            <w:pPr>
              <w:numPr>
                <w:ilvl w:val="0"/>
                <w:numId w:val="9"/>
              </w:numPr>
              <w:suppressAutoHyphens w:val="0"/>
              <w:jc w:val="left"/>
              <w:rPr>
                <w:rFonts w:asciiTheme="minorHAnsi" w:eastAsia="Calibri" w:hAnsiTheme="minorHAnsi" w:cstheme="minorBidi"/>
                <w:szCs w:val="24"/>
              </w:rPr>
            </w:pPr>
            <w:r w:rsidRPr="35283E35">
              <w:rPr>
                <w:rFonts w:asciiTheme="minorHAnsi" w:eastAsia="Calibri" w:hAnsiTheme="minorHAnsi" w:cstheme="minorBidi"/>
                <w:szCs w:val="24"/>
              </w:rPr>
              <w:t xml:space="preserve">The provider will report adverse incidents relating to public health services in line with both the incident reporting outlined in the clinical governance appendix, and the </w:t>
            </w:r>
            <w:hyperlink r:id="rId53">
              <w:r w:rsidRPr="35283E35">
                <w:rPr>
                  <w:rStyle w:val="Hyperlink"/>
                  <w:rFonts w:asciiTheme="minorHAnsi" w:eastAsia="Calibri" w:hAnsiTheme="minorHAnsi" w:cstheme="minorBidi"/>
                  <w:szCs w:val="24"/>
                </w:rPr>
                <w:t>BNSSG Integrated Care Board</w:t>
              </w:r>
            </w:hyperlink>
            <w:r w:rsidRPr="35283E35">
              <w:rPr>
                <w:rFonts w:asciiTheme="minorHAnsi" w:eastAsia="Calibri" w:hAnsiTheme="minorHAnsi" w:cstheme="minorBidi"/>
                <w:szCs w:val="24"/>
              </w:rPr>
              <w:t xml:space="preserve"> reporting requirements.  </w:t>
            </w:r>
          </w:p>
          <w:p w14:paraId="60DC5872" w14:textId="77777777" w:rsidR="00072B22" w:rsidRPr="00072B22" w:rsidRDefault="00072B22" w:rsidP="35283E35">
            <w:pPr>
              <w:suppressAutoHyphens w:val="0"/>
              <w:jc w:val="left"/>
              <w:rPr>
                <w:rFonts w:asciiTheme="minorHAnsi" w:eastAsia="MS ??" w:hAnsiTheme="minorHAnsi" w:cstheme="minorBidi"/>
                <w:b/>
                <w:bCs/>
                <w:color w:val="339966"/>
                <w:szCs w:val="24"/>
              </w:rPr>
            </w:pPr>
          </w:p>
          <w:p w14:paraId="0039F80B" w14:textId="77777777" w:rsidR="00072B22" w:rsidRPr="00072B22" w:rsidRDefault="00072B22" w:rsidP="35283E35">
            <w:pPr>
              <w:suppressAutoHyphens w:val="0"/>
              <w:jc w:val="left"/>
              <w:rPr>
                <w:rFonts w:asciiTheme="minorHAnsi" w:eastAsia="MS ??" w:hAnsiTheme="minorHAnsi" w:cstheme="minorBidi"/>
                <w:b/>
                <w:bCs/>
                <w:color w:val="339966"/>
                <w:szCs w:val="24"/>
              </w:rPr>
            </w:pPr>
            <w:r w:rsidRPr="35283E35">
              <w:rPr>
                <w:rFonts w:asciiTheme="minorHAnsi" w:eastAsia="MS ??" w:hAnsiTheme="minorHAnsi" w:cstheme="minorBidi"/>
                <w:b/>
                <w:bCs/>
                <w:color w:val="339966"/>
                <w:szCs w:val="24"/>
              </w:rPr>
              <w:t xml:space="preserve">3.4 Patient and Public Involvement (PPI) </w:t>
            </w:r>
          </w:p>
          <w:p w14:paraId="4AED5D51" w14:textId="77777777" w:rsidR="00072B22" w:rsidRPr="00072B22" w:rsidRDefault="00072B22" w:rsidP="35283E35">
            <w:pPr>
              <w:numPr>
                <w:ilvl w:val="0"/>
                <w:numId w:val="35"/>
              </w:numPr>
              <w:suppressAutoHyphens w:val="0"/>
              <w:jc w:val="left"/>
              <w:rPr>
                <w:rFonts w:asciiTheme="minorHAnsi" w:eastAsia="MS ??" w:hAnsiTheme="minorHAnsi" w:cstheme="minorBidi"/>
                <w:szCs w:val="24"/>
              </w:rPr>
            </w:pPr>
            <w:r w:rsidRPr="35283E35">
              <w:rPr>
                <w:rFonts w:asciiTheme="minorHAnsi" w:eastAsia="MS ??" w:hAnsiTheme="minorHAnsi" w:cstheme="minorBidi"/>
                <w:szCs w:val="24"/>
              </w:rPr>
              <w:t>The practice co-operates with any locally agreed North Somerset Led assessment of service user experience. This includes being willing to participate in periodic ‘mystery shopping’ exercises to monitor quality.</w:t>
            </w:r>
          </w:p>
          <w:p w14:paraId="0F21C36C" w14:textId="77777777" w:rsidR="00072B22" w:rsidRPr="00072B22" w:rsidRDefault="00072B22" w:rsidP="35283E35">
            <w:pPr>
              <w:numPr>
                <w:ilvl w:val="0"/>
                <w:numId w:val="35"/>
              </w:numPr>
              <w:suppressAutoHyphens w:val="0"/>
              <w:jc w:val="left"/>
              <w:rPr>
                <w:rFonts w:asciiTheme="minorHAnsi" w:eastAsia="MS ??" w:hAnsiTheme="minorHAnsi" w:cstheme="minorBidi"/>
                <w:szCs w:val="24"/>
              </w:rPr>
            </w:pPr>
            <w:r w:rsidRPr="35283E35">
              <w:rPr>
                <w:rFonts w:asciiTheme="minorHAnsi" w:eastAsia="MS ??" w:hAnsiTheme="minorHAnsi" w:cstheme="minorBidi"/>
                <w:szCs w:val="24"/>
              </w:rPr>
              <w:t>Patients receiving services are encouraged to complete National Patient Surveys, and any local patient surveys.</w:t>
            </w:r>
          </w:p>
          <w:p w14:paraId="0520E35A" w14:textId="13554411" w:rsidR="005D38CB" w:rsidRPr="005D38CB" w:rsidRDefault="00072B22" w:rsidP="35283E35">
            <w:pPr>
              <w:numPr>
                <w:ilvl w:val="0"/>
                <w:numId w:val="35"/>
              </w:numPr>
              <w:suppressAutoHyphens w:val="0"/>
              <w:jc w:val="left"/>
              <w:rPr>
                <w:rFonts w:asciiTheme="minorHAnsi" w:eastAsia="Calibri" w:hAnsiTheme="minorHAnsi" w:cstheme="minorBidi"/>
                <w:b/>
                <w:bCs/>
                <w:color w:val="339966"/>
                <w:szCs w:val="24"/>
              </w:rPr>
            </w:pPr>
            <w:r w:rsidRPr="35283E35">
              <w:rPr>
                <w:rFonts w:asciiTheme="minorHAnsi" w:eastAsia="MS ??" w:hAnsiTheme="minorHAnsi" w:cstheme="minorBidi"/>
                <w:szCs w:val="24"/>
              </w:rPr>
              <w:t>The provider facilitates requests from the commissioner to invite patients in receipt of services covered by this contract to provide anonymous feedback (see Appendix D of the main contract).</w:t>
            </w:r>
          </w:p>
          <w:p w14:paraId="47C5EFC8" w14:textId="77777777" w:rsidR="005D38CB" w:rsidRDefault="005D38CB" w:rsidP="35283E35">
            <w:pPr>
              <w:suppressAutoHyphens w:val="0"/>
              <w:jc w:val="left"/>
              <w:rPr>
                <w:rFonts w:asciiTheme="minorHAnsi" w:eastAsia="MS ??" w:hAnsiTheme="minorHAnsi" w:cstheme="minorBidi"/>
                <w:szCs w:val="24"/>
              </w:rPr>
            </w:pPr>
          </w:p>
          <w:p w14:paraId="22458458" w14:textId="77777777" w:rsidR="005D38CB" w:rsidRPr="00072B22" w:rsidRDefault="005D38CB" w:rsidP="35283E35">
            <w:pPr>
              <w:suppressAutoHyphens w:val="0"/>
              <w:jc w:val="left"/>
              <w:rPr>
                <w:rFonts w:asciiTheme="minorHAnsi" w:eastAsia="Calibri" w:hAnsiTheme="minorHAnsi" w:cstheme="minorBidi"/>
                <w:b/>
                <w:bCs/>
                <w:color w:val="339966"/>
                <w:szCs w:val="24"/>
              </w:rPr>
            </w:pPr>
          </w:p>
          <w:p w14:paraId="5642BE3B" w14:textId="77777777" w:rsidR="00072B22" w:rsidRPr="00072B22" w:rsidRDefault="00072B22" w:rsidP="35283E35">
            <w:pPr>
              <w:suppressAutoHyphens w:val="0"/>
              <w:jc w:val="left"/>
              <w:rPr>
                <w:rFonts w:asciiTheme="minorHAnsi" w:eastAsia="Calibri" w:hAnsiTheme="minorHAnsi" w:cstheme="minorBidi"/>
                <w:b/>
                <w:bCs/>
                <w:color w:val="339966"/>
                <w:szCs w:val="24"/>
              </w:rPr>
            </w:pPr>
            <w:r w:rsidRPr="35283E35">
              <w:rPr>
                <w:rFonts w:asciiTheme="minorHAnsi" w:eastAsia="Calibri" w:hAnsiTheme="minorHAnsi" w:cstheme="minorBidi"/>
                <w:b/>
                <w:bCs/>
                <w:color w:val="339966"/>
                <w:szCs w:val="24"/>
              </w:rPr>
              <w:t>3.5 Education and Training</w:t>
            </w:r>
          </w:p>
          <w:p w14:paraId="270B1DDA" w14:textId="3C6503D7" w:rsidR="00E451FF" w:rsidRPr="00985A5D" w:rsidRDefault="3839C6C1" w:rsidP="5160D0DF">
            <w:pPr>
              <w:rPr>
                <w:rFonts w:ascii="Calibri" w:eastAsiaTheme="minorEastAsia" w:hAnsi="Calibri" w:cs="Calibri"/>
              </w:rPr>
            </w:pPr>
            <w:r w:rsidRPr="00985A5D">
              <w:rPr>
                <w:rFonts w:ascii="Calibri" w:eastAsiaTheme="minorEastAsia" w:hAnsi="Calibri" w:cs="Calibri"/>
              </w:rPr>
              <w:t>Practice staff will be invited to attend a series of short webinars that will outline the new process for distributing the chlamydia/gonorrhoea self-sampling test kits.</w:t>
            </w:r>
          </w:p>
          <w:p w14:paraId="3520DFA3" w14:textId="77777777" w:rsidR="00072B22" w:rsidRPr="00072B22" w:rsidRDefault="00072B22" w:rsidP="35283E35">
            <w:pPr>
              <w:suppressAutoHyphens w:val="0"/>
              <w:jc w:val="left"/>
              <w:rPr>
                <w:rFonts w:asciiTheme="minorHAnsi" w:eastAsia="MS ??" w:hAnsiTheme="minorHAnsi" w:cstheme="minorBidi"/>
                <w:szCs w:val="24"/>
              </w:rPr>
            </w:pPr>
          </w:p>
        </w:tc>
      </w:tr>
      <w:tr w:rsidR="00072B22" w:rsidRPr="00072B22" w14:paraId="0B969DFB"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9017" w:type="dxa"/>
            <w:gridSpan w:val="2"/>
            <w:tcBorders>
              <w:top w:val="single" w:sz="4" w:space="0" w:color="999999"/>
              <w:left w:val="single" w:sz="4" w:space="0" w:color="999999"/>
              <w:bottom w:val="single" w:sz="4" w:space="0" w:color="999999"/>
              <w:right w:val="single" w:sz="4" w:space="0" w:color="999999"/>
            </w:tcBorders>
            <w:shd w:val="clear" w:color="auto" w:fill="666666"/>
            <w:vAlign w:val="center"/>
          </w:tcPr>
          <w:p w14:paraId="6D8DD4C7" w14:textId="6C72412F" w:rsidR="00072B22" w:rsidRPr="00072B22" w:rsidRDefault="00072B22" w:rsidP="5160D0DF">
            <w:pPr>
              <w:suppressAutoHyphens w:val="0"/>
              <w:jc w:val="left"/>
              <w:rPr>
                <w:rFonts w:asciiTheme="minorHAnsi" w:eastAsia="MS ??" w:hAnsiTheme="minorHAnsi" w:cstheme="minorBidi"/>
                <w:b/>
                <w:bCs/>
                <w:color w:val="FFC000" w:themeColor="accent4"/>
              </w:rPr>
            </w:pPr>
            <w:r w:rsidRPr="5160D0DF">
              <w:rPr>
                <w:rFonts w:asciiTheme="minorHAnsi" w:eastAsia="MS ??" w:hAnsiTheme="minorHAnsi" w:cstheme="minorBidi"/>
                <w:b/>
                <w:bCs/>
                <w:color w:val="FFC000" w:themeColor="accent4"/>
              </w:rPr>
              <w:lastRenderedPageBreak/>
              <w:t xml:space="preserve">4.  </w:t>
            </w:r>
            <w:r w:rsidR="3839C6C1" w:rsidRPr="5160D0DF">
              <w:rPr>
                <w:rFonts w:asciiTheme="minorHAnsi" w:eastAsia="MS ??" w:hAnsiTheme="minorHAnsi" w:cstheme="minorBidi"/>
                <w:b/>
                <w:bCs/>
                <w:color w:val="FFC000" w:themeColor="accent4"/>
              </w:rPr>
              <w:t>Reporting and Finance</w:t>
            </w:r>
          </w:p>
          <w:p w14:paraId="5C92ECE3" w14:textId="166B311B" w:rsidR="00072B22" w:rsidRPr="00072B22" w:rsidRDefault="00072B22" w:rsidP="5160D0DF">
            <w:pPr>
              <w:suppressAutoHyphens w:val="0"/>
              <w:jc w:val="left"/>
              <w:rPr>
                <w:rFonts w:asciiTheme="minorHAnsi" w:eastAsia="MS ??" w:hAnsiTheme="minorHAnsi" w:cstheme="minorBidi"/>
                <w:color w:val="FFC000" w:themeColor="accent4"/>
              </w:rPr>
            </w:pPr>
          </w:p>
        </w:tc>
      </w:tr>
      <w:tr w:rsidR="00072B22" w:rsidRPr="00072B22" w14:paraId="41D5A281" w14:textId="77777777" w:rsidTr="5A492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7" w:type="dxa"/>
            <w:gridSpan w:val="2"/>
            <w:tcBorders>
              <w:top w:val="single" w:sz="4" w:space="0" w:color="999999"/>
              <w:left w:val="single" w:sz="4" w:space="0" w:color="999999"/>
              <w:bottom w:val="single" w:sz="4" w:space="0" w:color="999999"/>
              <w:right w:val="single" w:sz="4" w:space="0" w:color="999999"/>
            </w:tcBorders>
          </w:tcPr>
          <w:p w14:paraId="2C374DAC" w14:textId="2166367C" w:rsidR="00072B22" w:rsidRDefault="00072B22" w:rsidP="35283E35">
            <w:pPr>
              <w:spacing w:after="240"/>
              <w:jc w:val="left"/>
              <w:rPr>
                <w:rFonts w:asciiTheme="minorHAnsi" w:hAnsiTheme="minorHAnsi" w:cstheme="minorBidi"/>
                <w:b/>
                <w:bCs/>
                <w:color w:val="339966"/>
                <w:szCs w:val="24"/>
              </w:rPr>
            </w:pPr>
            <w:r w:rsidRPr="35283E35">
              <w:rPr>
                <w:rFonts w:asciiTheme="minorHAnsi" w:hAnsiTheme="minorHAnsi" w:cstheme="minorBidi"/>
                <w:b/>
                <w:bCs/>
                <w:color w:val="339966"/>
                <w:szCs w:val="24"/>
              </w:rPr>
              <w:t xml:space="preserve">4.1 </w:t>
            </w:r>
            <w:r w:rsidR="00E451FF" w:rsidRPr="35283E35">
              <w:rPr>
                <w:rFonts w:asciiTheme="minorHAnsi" w:hAnsiTheme="minorHAnsi" w:cstheme="minorBidi"/>
                <w:b/>
                <w:bCs/>
                <w:color w:val="339966"/>
                <w:szCs w:val="24"/>
              </w:rPr>
              <w:t>Reporting</w:t>
            </w:r>
            <w:r w:rsidRPr="35283E35">
              <w:rPr>
                <w:rFonts w:asciiTheme="minorHAnsi" w:hAnsiTheme="minorHAnsi" w:cstheme="minorBidi"/>
                <w:b/>
                <w:bCs/>
                <w:color w:val="339966"/>
                <w:szCs w:val="24"/>
              </w:rPr>
              <w:t xml:space="preserve"> </w:t>
            </w:r>
          </w:p>
          <w:p w14:paraId="422F9DA2" w14:textId="77777777" w:rsidR="00E451FF" w:rsidRDefault="00E451FF" w:rsidP="35283E35">
            <w:pPr>
              <w:spacing w:after="240"/>
              <w:jc w:val="left"/>
              <w:rPr>
                <w:rFonts w:asciiTheme="minorHAnsi" w:hAnsiTheme="minorHAnsi" w:cstheme="minorBidi"/>
                <w:szCs w:val="24"/>
              </w:rPr>
            </w:pPr>
            <w:r w:rsidRPr="35283E35">
              <w:rPr>
                <w:rFonts w:asciiTheme="minorHAnsi" w:hAnsiTheme="minorHAnsi" w:cstheme="minorBidi"/>
                <w:szCs w:val="24"/>
              </w:rPr>
              <w:t xml:space="preserve">Practices providing the service will not be required to submit data regarding chlamydia and gonorrhoea self-sampling test kits as this will be received directly from the laboratory. </w:t>
            </w:r>
          </w:p>
          <w:p w14:paraId="0BF54D1D" w14:textId="27918F1F" w:rsidR="00253AF3" w:rsidRDefault="00E451FF" w:rsidP="35283E35">
            <w:pPr>
              <w:spacing w:after="240"/>
              <w:jc w:val="left"/>
              <w:rPr>
                <w:rFonts w:asciiTheme="minorHAnsi" w:hAnsiTheme="minorHAnsi" w:cstheme="minorBidi"/>
                <w:szCs w:val="24"/>
              </w:rPr>
            </w:pPr>
            <w:r w:rsidRPr="35283E35">
              <w:rPr>
                <w:rFonts w:asciiTheme="minorHAnsi" w:hAnsiTheme="minorHAnsi" w:cstheme="minorBidi"/>
                <w:szCs w:val="24"/>
              </w:rPr>
              <w:t>Practices will be paid annually in the April following the previous financial year</w:t>
            </w:r>
            <w:r w:rsidR="00E56898">
              <w:rPr>
                <w:rFonts w:asciiTheme="minorHAnsi" w:hAnsiTheme="minorHAnsi" w:cstheme="minorBidi"/>
                <w:szCs w:val="24"/>
              </w:rPr>
              <w:t>.</w:t>
            </w:r>
          </w:p>
          <w:p w14:paraId="20077A65" w14:textId="3349EDE7" w:rsidR="00E451FF" w:rsidRPr="00E451FF" w:rsidRDefault="00E451FF" w:rsidP="35283E35">
            <w:pPr>
              <w:spacing w:after="240"/>
              <w:jc w:val="left"/>
              <w:rPr>
                <w:rFonts w:asciiTheme="minorHAnsi" w:hAnsiTheme="minorHAnsi" w:cstheme="minorBidi"/>
                <w:szCs w:val="24"/>
              </w:rPr>
            </w:pPr>
            <w:r w:rsidRPr="35283E35">
              <w:rPr>
                <w:rFonts w:asciiTheme="minorHAnsi" w:hAnsiTheme="minorHAnsi" w:cstheme="minorBidi"/>
                <w:szCs w:val="24"/>
              </w:rPr>
              <w:t>The council pays for chlamydia/gonorrhoea tests for women aged 16 to 24 under the following conditions:</w:t>
            </w:r>
          </w:p>
          <w:p w14:paraId="027FCE59" w14:textId="2288A44D" w:rsidR="00E451FF" w:rsidRDefault="3839C6C1" w:rsidP="5160D0DF">
            <w:pPr>
              <w:numPr>
                <w:ilvl w:val="0"/>
                <w:numId w:val="44"/>
              </w:numPr>
              <w:spacing w:after="240"/>
              <w:ind w:left="714" w:hanging="357"/>
              <w:jc w:val="left"/>
              <w:rPr>
                <w:rFonts w:asciiTheme="minorHAnsi" w:hAnsiTheme="minorHAnsi" w:cstheme="minorBidi"/>
              </w:rPr>
            </w:pPr>
            <w:r w:rsidRPr="5160D0DF">
              <w:rPr>
                <w:rFonts w:asciiTheme="minorHAnsi" w:hAnsiTheme="minorHAnsi" w:cstheme="minorBidi"/>
              </w:rPr>
              <w:t xml:space="preserve">The test kit used was a chlamydia/gonorrhoea test kit provided by </w:t>
            </w:r>
            <w:r w:rsidR="1806499F" w:rsidRPr="5160D0DF">
              <w:rPr>
                <w:rFonts w:asciiTheme="minorHAnsi" w:hAnsiTheme="minorHAnsi" w:cstheme="minorBidi"/>
              </w:rPr>
              <w:t xml:space="preserve">SH:24 </w:t>
            </w:r>
            <w:r w:rsidRPr="5160D0DF">
              <w:rPr>
                <w:rFonts w:asciiTheme="minorHAnsi" w:hAnsiTheme="minorHAnsi" w:cstheme="minorBidi"/>
              </w:rPr>
              <w:t>AND</w:t>
            </w:r>
          </w:p>
          <w:p w14:paraId="4754E640" w14:textId="69A1E29F" w:rsidR="00E451FF" w:rsidRDefault="00E451FF" w:rsidP="35283E35">
            <w:pPr>
              <w:numPr>
                <w:ilvl w:val="0"/>
                <w:numId w:val="44"/>
              </w:numPr>
              <w:spacing w:after="240"/>
              <w:ind w:left="714" w:hanging="357"/>
              <w:jc w:val="left"/>
              <w:rPr>
                <w:rFonts w:asciiTheme="minorHAnsi" w:hAnsiTheme="minorHAnsi" w:cstheme="minorBidi"/>
                <w:szCs w:val="24"/>
              </w:rPr>
            </w:pPr>
            <w:r w:rsidRPr="35283E35">
              <w:rPr>
                <w:rFonts w:asciiTheme="minorHAnsi" w:hAnsiTheme="minorHAnsi" w:cstheme="minorBidi"/>
                <w:szCs w:val="24"/>
              </w:rPr>
              <w:t>The test kit was received at the laboratory for processing.</w:t>
            </w:r>
          </w:p>
          <w:p w14:paraId="11D7C979" w14:textId="64E7F386" w:rsidR="1843762E" w:rsidRDefault="3839C6C1" w:rsidP="5160D0DF">
            <w:pPr>
              <w:spacing w:after="240"/>
              <w:jc w:val="left"/>
              <w:rPr>
                <w:rFonts w:asciiTheme="minorHAnsi" w:hAnsiTheme="minorHAnsi" w:cstheme="minorBidi"/>
                <w:b/>
                <w:bCs/>
                <w:color w:val="339966"/>
              </w:rPr>
            </w:pPr>
            <w:r w:rsidRPr="5160D0DF">
              <w:rPr>
                <w:rFonts w:asciiTheme="minorHAnsi" w:hAnsiTheme="minorHAnsi" w:cstheme="minorBidi"/>
                <w:b/>
                <w:bCs/>
                <w:color w:val="339966"/>
              </w:rPr>
              <w:t>4.1 Tariff</w:t>
            </w:r>
          </w:p>
          <w:tbl>
            <w:tblPr>
              <w:tblStyle w:val="TableGrid"/>
              <w:tblW w:w="8390" w:type="dxa"/>
              <w:tblLook w:val="04A0" w:firstRow="1" w:lastRow="0" w:firstColumn="1" w:lastColumn="0" w:noHBand="0" w:noVBand="1"/>
            </w:tblPr>
            <w:tblGrid>
              <w:gridCol w:w="7275"/>
              <w:gridCol w:w="1115"/>
            </w:tblGrid>
            <w:tr w:rsidR="00E451FF" w:rsidRPr="00D3144B" w14:paraId="31CD7C9A" w14:textId="77777777" w:rsidTr="1843762E">
              <w:tc>
                <w:tcPr>
                  <w:tcW w:w="7275" w:type="dxa"/>
                </w:tcPr>
                <w:p w14:paraId="4136FAF7" w14:textId="77777777" w:rsidR="00E451FF" w:rsidRPr="00D3144B" w:rsidRDefault="00E451FF" w:rsidP="35283E35">
                  <w:pPr>
                    <w:pStyle w:val="BodyText"/>
                    <w:spacing w:after="0"/>
                    <w:jc w:val="left"/>
                    <w:rPr>
                      <w:rFonts w:ascii="Calibri" w:hAnsi="Calibri" w:cs="Calibri"/>
                      <w:color w:val="000000" w:themeColor="text1"/>
                      <w:szCs w:val="24"/>
                    </w:rPr>
                  </w:pPr>
                  <w:r w:rsidRPr="35283E35">
                    <w:rPr>
                      <w:rFonts w:ascii="Calibri" w:eastAsiaTheme="minorEastAsia" w:hAnsi="Calibri" w:cs="Calibri"/>
                      <w:b/>
                      <w:bCs/>
                      <w:szCs w:val="24"/>
                    </w:rPr>
                    <w:t>Chlamydia/gonorrhoea test kits</w:t>
                  </w:r>
                </w:p>
              </w:tc>
              <w:tc>
                <w:tcPr>
                  <w:tcW w:w="1115" w:type="dxa"/>
                </w:tcPr>
                <w:p w14:paraId="7546A24E" w14:textId="77777777" w:rsidR="00E451FF" w:rsidRPr="00D3144B" w:rsidRDefault="00E451FF" w:rsidP="35283E35">
                  <w:pPr>
                    <w:pStyle w:val="BodyText"/>
                    <w:spacing w:after="0"/>
                    <w:jc w:val="right"/>
                    <w:rPr>
                      <w:rFonts w:ascii="Calibri" w:eastAsia="MS ??" w:hAnsi="Calibri" w:cs="Calibri"/>
                      <w:szCs w:val="24"/>
                    </w:rPr>
                  </w:pPr>
                </w:p>
              </w:tc>
            </w:tr>
            <w:tr w:rsidR="00E451FF" w:rsidRPr="00D3144B" w14:paraId="13FEE479" w14:textId="77777777" w:rsidTr="1843762E">
              <w:tc>
                <w:tcPr>
                  <w:tcW w:w="7275" w:type="dxa"/>
                </w:tcPr>
                <w:p w14:paraId="3331F9EF" w14:textId="77777777" w:rsidR="00E451FF" w:rsidRPr="00D3144B" w:rsidRDefault="00E451FF" w:rsidP="35283E35">
                  <w:pPr>
                    <w:pStyle w:val="BodyText"/>
                    <w:spacing w:after="0"/>
                    <w:jc w:val="left"/>
                    <w:rPr>
                      <w:rFonts w:ascii="Calibri" w:eastAsiaTheme="minorEastAsia" w:hAnsi="Calibri" w:cs="Calibri"/>
                      <w:b/>
                      <w:bCs/>
                      <w:szCs w:val="24"/>
                    </w:rPr>
                  </w:pPr>
                  <w:r w:rsidRPr="35283E35">
                    <w:rPr>
                      <w:rFonts w:ascii="Calibri" w:hAnsi="Calibri" w:cs="Calibri"/>
                      <w:color w:val="000000" w:themeColor="text1"/>
                      <w:szCs w:val="24"/>
                    </w:rPr>
                    <w:t>Each chlamydia and gonorrhoea self-sampling test kit (provided by the ISHS) received for processing for women in BNSSG aged 16 to 24.</w:t>
                  </w:r>
                </w:p>
              </w:tc>
              <w:tc>
                <w:tcPr>
                  <w:tcW w:w="1115" w:type="dxa"/>
                </w:tcPr>
                <w:p w14:paraId="1F4E256F" w14:textId="77777777" w:rsidR="00E451FF" w:rsidRPr="00D3144B" w:rsidRDefault="00E451FF" w:rsidP="35283E35">
                  <w:pPr>
                    <w:pStyle w:val="BodyText"/>
                    <w:spacing w:after="0"/>
                    <w:jc w:val="right"/>
                    <w:rPr>
                      <w:rFonts w:ascii="Calibri" w:eastAsia="MS ??" w:hAnsi="Calibri" w:cs="Calibri"/>
                      <w:szCs w:val="24"/>
                    </w:rPr>
                  </w:pPr>
                  <w:r w:rsidRPr="35283E35">
                    <w:rPr>
                      <w:rFonts w:ascii="Calibri" w:eastAsia="MS ??" w:hAnsi="Calibri" w:cs="Calibri"/>
                      <w:szCs w:val="24"/>
                    </w:rPr>
                    <w:t>£3.00</w:t>
                  </w:r>
                </w:p>
              </w:tc>
            </w:tr>
            <w:tr w:rsidR="003A308F" w:rsidRPr="00D3144B" w14:paraId="47BD7A7A" w14:textId="77777777" w:rsidTr="1843762E">
              <w:tc>
                <w:tcPr>
                  <w:tcW w:w="7275" w:type="dxa"/>
                </w:tcPr>
                <w:p w14:paraId="0154CDC2" w14:textId="77777777" w:rsidR="003A308F" w:rsidRPr="35283E35" w:rsidRDefault="003A308F" w:rsidP="35283E35">
                  <w:pPr>
                    <w:pStyle w:val="BodyText"/>
                    <w:spacing w:after="0"/>
                    <w:jc w:val="left"/>
                    <w:rPr>
                      <w:rFonts w:ascii="Calibri" w:hAnsi="Calibri" w:cs="Calibri"/>
                      <w:color w:val="000000" w:themeColor="text1"/>
                      <w:szCs w:val="24"/>
                    </w:rPr>
                  </w:pPr>
                </w:p>
              </w:tc>
              <w:tc>
                <w:tcPr>
                  <w:tcW w:w="1115" w:type="dxa"/>
                </w:tcPr>
                <w:p w14:paraId="2D6646F9" w14:textId="77777777" w:rsidR="003A308F" w:rsidRPr="35283E35" w:rsidRDefault="003A308F" w:rsidP="35283E35">
                  <w:pPr>
                    <w:pStyle w:val="BodyText"/>
                    <w:spacing w:after="0"/>
                    <w:jc w:val="right"/>
                    <w:rPr>
                      <w:rFonts w:ascii="Calibri" w:eastAsia="MS ??" w:hAnsi="Calibri" w:cs="Calibri"/>
                      <w:szCs w:val="24"/>
                    </w:rPr>
                  </w:pPr>
                </w:p>
              </w:tc>
            </w:tr>
          </w:tbl>
          <w:p w14:paraId="771D8073" w14:textId="07750460" w:rsidR="00072B22" w:rsidRPr="00072B22" w:rsidRDefault="00072B22" w:rsidP="5160D0DF">
            <w:pPr>
              <w:rPr>
                <w:rFonts w:asciiTheme="minorHAnsi" w:hAnsiTheme="minorHAnsi" w:cstheme="minorBidi"/>
              </w:rPr>
            </w:pPr>
          </w:p>
        </w:tc>
      </w:tr>
    </w:tbl>
    <w:p w14:paraId="26927A65" w14:textId="77777777" w:rsidR="00072B22" w:rsidRPr="00072B22" w:rsidRDefault="00072B22" w:rsidP="35283E35">
      <w:pPr>
        <w:widowControl w:val="0"/>
        <w:suppressAutoHyphens w:val="0"/>
        <w:jc w:val="left"/>
        <w:rPr>
          <w:rFonts w:asciiTheme="minorHAnsi" w:hAnsiTheme="minorHAnsi" w:cstheme="minorBidi"/>
          <w:b/>
          <w:bCs/>
          <w:szCs w:val="24"/>
          <w:u w:val="single"/>
          <w:lang w:eastAsia="en-GB"/>
        </w:rPr>
      </w:pPr>
    </w:p>
    <w:p w14:paraId="3D4C2A9E" w14:textId="77777777" w:rsidR="00BB6BB5" w:rsidRPr="00072B22" w:rsidRDefault="00BB6BB5" w:rsidP="35283E35">
      <w:pPr>
        <w:rPr>
          <w:rFonts w:asciiTheme="minorHAnsi" w:hAnsiTheme="minorHAnsi" w:cstheme="minorBidi"/>
          <w:szCs w:val="24"/>
        </w:rPr>
      </w:pPr>
    </w:p>
    <w:p w14:paraId="625DCC60" w14:textId="77777777" w:rsidR="00BB6BB5" w:rsidRPr="00072B22" w:rsidRDefault="00BB6BB5" w:rsidP="35283E35">
      <w:pPr>
        <w:rPr>
          <w:rFonts w:asciiTheme="minorHAnsi" w:hAnsiTheme="minorHAnsi" w:cstheme="minorBidi"/>
          <w:szCs w:val="24"/>
        </w:rPr>
      </w:pPr>
    </w:p>
    <w:sectPr w:rsidR="00BB6BB5" w:rsidRPr="00072B22" w:rsidSect="009A44D3">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1D40" w14:textId="77777777" w:rsidR="00541AA7" w:rsidRDefault="00541AA7">
      <w:r>
        <w:separator/>
      </w:r>
    </w:p>
  </w:endnote>
  <w:endnote w:type="continuationSeparator" w:id="0">
    <w:p w14:paraId="16D0E433" w14:textId="77777777" w:rsidR="00541AA7" w:rsidRDefault="00541AA7">
      <w:r>
        <w:continuationSeparator/>
      </w:r>
    </w:p>
  </w:endnote>
  <w:endnote w:type="continuationNotice" w:id="1">
    <w:p w14:paraId="36C93DAA" w14:textId="77777777" w:rsidR="00541AA7" w:rsidRDefault="00541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FD3" w14:textId="77777777" w:rsidR="009A44D3" w:rsidRDefault="009A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F14D" w14:textId="77777777" w:rsidR="009A44D3" w:rsidRDefault="009A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611A" w14:textId="77777777" w:rsidR="009A44D3" w:rsidRDefault="009A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F1D3" w14:textId="77777777" w:rsidR="00541AA7" w:rsidRDefault="00541AA7">
      <w:r>
        <w:separator/>
      </w:r>
    </w:p>
  </w:footnote>
  <w:footnote w:type="continuationSeparator" w:id="0">
    <w:p w14:paraId="6DD7696E" w14:textId="77777777" w:rsidR="00541AA7" w:rsidRDefault="00541AA7">
      <w:r>
        <w:continuationSeparator/>
      </w:r>
    </w:p>
  </w:footnote>
  <w:footnote w:type="continuationNotice" w:id="1">
    <w:p w14:paraId="712E2D24" w14:textId="77777777" w:rsidR="00541AA7" w:rsidRDefault="00541AA7"/>
  </w:footnote>
  <w:footnote w:id="2">
    <w:p w14:paraId="167FBB90" w14:textId="77777777" w:rsidR="006D371C" w:rsidRPr="00281185" w:rsidRDefault="006D371C" w:rsidP="006D371C">
      <w:pPr>
        <w:pStyle w:val="FootnoteText"/>
        <w:jc w:val="left"/>
        <w:rPr>
          <w:sz w:val="16"/>
          <w:szCs w:val="16"/>
        </w:rPr>
      </w:pPr>
      <w:r w:rsidRPr="00281185">
        <w:rPr>
          <w:rStyle w:val="FootnoteReference"/>
          <w:sz w:val="16"/>
          <w:szCs w:val="16"/>
        </w:rPr>
        <w:footnoteRef/>
      </w:r>
      <w:r w:rsidRPr="00281185">
        <w:rPr>
          <w:sz w:val="16"/>
          <w:szCs w:val="16"/>
        </w:rPr>
        <w:t xml:space="preserve"> OHID (2022) Sexual and reproductive health and HIV: applying All Our Health. Online: </w:t>
      </w:r>
      <w:hyperlink r:id="rId1" w:history="1">
        <w:r w:rsidRPr="00281185">
          <w:rPr>
            <w:rStyle w:val="Hyperlink"/>
            <w:sz w:val="16"/>
            <w:szCs w:val="16"/>
          </w:rPr>
          <w:t>https://www.gov.uk/government/publications/sexual-and-reproductive-health-and-hiv-applying-all-our-health/sexual-and-reproductive-health-and-hiv-applying-all-our-health</w:t>
        </w:r>
      </w:hyperlink>
      <w:r w:rsidRPr="00281185">
        <w:rPr>
          <w:sz w:val="16"/>
          <w:szCs w:val="16"/>
        </w:rPr>
        <w:t xml:space="preserve"> </w:t>
      </w:r>
    </w:p>
  </w:footnote>
  <w:footnote w:id="3">
    <w:p w14:paraId="3D4B3DD5" w14:textId="77777777" w:rsidR="006D371C" w:rsidRPr="00281185" w:rsidRDefault="006D371C" w:rsidP="006D371C">
      <w:pPr>
        <w:pStyle w:val="FootnoteText"/>
        <w:jc w:val="left"/>
        <w:rPr>
          <w:rFonts w:cs="Arial"/>
          <w:sz w:val="16"/>
          <w:szCs w:val="16"/>
        </w:rPr>
      </w:pPr>
      <w:r w:rsidRPr="00281185">
        <w:rPr>
          <w:rStyle w:val="FootnoteReference"/>
          <w:sz w:val="16"/>
          <w:szCs w:val="16"/>
        </w:rPr>
        <w:footnoteRef/>
      </w:r>
      <w:r w:rsidRPr="00281185">
        <w:rPr>
          <w:sz w:val="16"/>
          <w:szCs w:val="16"/>
        </w:rPr>
        <w:t xml:space="preserve"> </w:t>
      </w:r>
      <w:r w:rsidRPr="00281185">
        <w:rPr>
          <w:rStyle w:val="FootnoteReference"/>
          <w:rFonts w:cs="Arial"/>
          <w:sz w:val="16"/>
          <w:szCs w:val="16"/>
        </w:rPr>
        <w:footnoteRef/>
      </w:r>
      <w:r w:rsidRPr="00281185">
        <w:rPr>
          <w:rFonts w:cs="Arial"/>
          <w:sz w:val="16"/>
          <w:szCs w:val="16"/>
        </w:rPr>
        <w:t xml:space="preserve"> BNSSG ICS (2022) Integrated Care System (ICS) Strategy. Online: </w:t>
      </w:r>
      <w:hyperlink r:id="rId2" w:history="1">
        <w:r w:rsidRPr="00281185">
          <w:rPr>
            <w:rStyle w:val="Hyperlink"/>
            <w:rFonts w:cs="Arial"/>
            <w:sz w:val="16"/>
            <w:szCs w:val="16"/>
          </w:rPr>
          <w:t>https://bnssg.icb.nhs.uk/about-us/the-integrated-care-system-in-bnssg/integrated-care-system-strategy/</w:t>
        </w:r>
      </w:hyperlink>
      <w:r w:rsidRPr="00281185">
        <w:rPr>
          <w:rFonts w:cs="Arial"/>
          <w:sz w:val="16"/>
          <w:szCs w:val="16"/>
        </w:rPr>
        <w:t xml:space="preserve"> </w:t>
      </w:r>
    </w:p>
  </w:footnote>
  <w:footnote w:id="4">
    <w:p w14:paraId="0A8FE8E7" w14:textId="313B2C17" w:rsidR="006D371C" w:rsidRPr="00281185" w:rsidRDefault="006D371C" w:rsidP="006D371C">
      <w:pPr>
        <w:pStyle w:val="FootnoteText"/>
        <w:jc w:val="left"/>
        <w:rPr>
          <w:sz w:val="16"/>
          <w:szCs w:val="16"/>
        </w:rPr>
      </w:pPr>
      <w:r w:rsidRPr="00281185">
        <w:rPr>
          <w:rStyle w:val="FootnoteReference"/>
          <w:sz w:val="16"/>
          <w:szCs w:val="16"/>
        </w:rPr>
        <w:footnoteRef/>
      </w:r>
      <w:r w:rsidRPr="00281185">
        <w:rPr>
          <w:sz w:val="16"/>
          <w:szCs w:val="16"/>
        </w:rPr>
        <w:t xml:space="preserve"> </w:t>
      </w:r>
      <w:r w:rsidRPr="00281185">
        <w:rPr>
          <w:rFonts w:cs="Arial"/>
          <w:sz w:val="16"/>
          <w:szCs w:val="16"/>
        </w:rPr>
        <w:t>North Somerset Health and Wellbeing Board (202</w:t>
      </w:r>
      <w:r w:rsidR="00D52196">
        <w:rPr>
          <w:rFonts w:cs="Arial"/>
          <w:sz w:val="16"/>
          <w:szCs w:val="16"/>
        </w:rPr>
        <w:t>5</w:t>
      </w:r>
      <w:r w:rsidRPr="00281185">
        <w:rPr>
          <w:rFonts w:cs="Arial"/>
          <w:sz w:val="16"/>
          <w:szCs w:val="16"/>
        </w:rPr>
        <w:t>) Health and wellbeing strategy 202</w:t>
      </w:r>
      <w:r w:rsidR="00BC5EF9">
        <w:rPr>
          <w:rFonts w:cs="Arial"/>
          <w:sz w:val="16"/>
          <w:szCs w:val="16"/>
        </w:rPr>
        <w:t>5-28</w:t>
      </w:r>
      <w:r w:rsidRPr="00281185">
        <w:rPr>
          <w:rFonts w:cs="Arial"/>
          <w:sz w:val="16"/>
          <w:szCs w:val="16"/>
        </w:rPr>
        <w:t xml:space="preserve">. Online: </w:t>
      </w:r>
      <w:hyperlink r:id="rId3" w:history="1">
        <w:r w:rsidR="0001505C" w:rsidRPr="0001505C">
          <w:rPr>
            <w:rStyle w:val="Hyperlink"/>
            <w:rFonts w:cs="Arial"/>
            <w:sz w:val="16"/>
            <w:szCs w:val="16"/>
          </w:rPr>
          <w:t>Joint health and wellbeing strategy 2025-28 | North Somerset Council</w:t>
        </w:r>
      </w:hyperlink>
    </w:p>
  </w:footnote>
  <w:footnote w:id="5">
    <w:p w14:paraId="4DE69532" w14:textId="33AA70AA" w:rsidR="006D371C" w:rsidRDefault="006D371C" w:rsidP="006D371C">
      <w:pPr>
        <w:pStyle w:val="FootnoteText"/>
        <w:jc w:val="left"/>
      </w:pPr>
      <w:r w:rsidRPr="00281185">
        <w:rPr>
          <w:rStyle w:val="FootnoteReference"/>
          <w:sz w:val="16"/>
          <w:szCs w:val="16"/>
        </w:rPr>
        <w:footnoteRef/>
      </w:r>
      <w:r w:rsidRPr="00281185">
        <w:rPr>
          <w:sz w:val="16"/>
          <w:szCs w:val="16"/>
        </w:rPr>
        <w:t xml:space="preserve"> </w:t>
      </w:r>
      <w:r w:rsidRPr="00281185">
        <w:rPr>
          <w:rFonts w:cs="Arial"/>
          <w:sz w:val="16"/>
          <w:szCs w:val="16"/>
        </w:rPr>
        <w:t xml:space="preserve">North Somerset Council (2024) North Somerset Corporate Plan 2024 – 2028. Online: </w:t>
      </w:r>
      <w:hyperlink r:id="rId4" w:history="1">
        <w:r w:rsidR="00081FD5" w:rsidRPr="00081FD5">
          <w:rPr>
            <w:rStyle w:val="Hyperlink"/>
            <w:sz w:val="16"/>
            <w:szCs w:val="16"/>
          </w:rPr>
          <w:t>https://n-somerset.gov.uk/sites/default/files/corporatplan202024-28.pdf</w:t>
        </w:r>
      </w:hyperlink>
    </w:p>
  </w:footnote>
  <w:footnote w:id="6">
    <w:p w14:paraId="21F6909C" w14:textId="77777777" w:rsidR="006D371C" w:rsidRPr="002A1EB3" w:rsidRDefault="006D371C" w:rsidP="006D371C">
      <w:pPr>
        <w:pStyle w:val="FootnoteText"/>
        <w:jc w:val="left"/>
        <w:rPr>
          <w:sz w:val="16"/>
          <w:szCs w:val="16"/>
        </w:rPr>
      </w:pPr>
      <w:r w:rsidRPr="002A1EB3">
        <w:rPr>
          <w:rStyle w:val="FootnoteReference"/>
          <w:sz w:val="16"/>
          <w:szCs w:val="16"/>
        </w:rPr>
        <w:footnoteRef/>
      </w:r>
      <w:r w:rsidRPr="002A1EB3">
        <w:rPr>
          <w:sz w:val="16"/>
          <w:szCs w:val="16"/>
        </w:rPr>
        <w:t xml:space="preserve"> PHE (2016) Guidance on the Ringfenced Public Health Grant Conditions and Mandated Functions in England. Online: </w:t>
      </w:r>
      <w:hyperlink r:id="rId5" w:history="1">
        <w:r w:rsidRPr="005C438A">
          <w:rPr>
            <w:rStyle w:val="Hyperlink"/>
            <w:sz w:val="16"/>
            <w:szCs w:val="16"/>
          </w:rPr>
          <w:t>https://www.adph.org.uk/wp-content/uploads/2016/09/Interpreting-the-ringfenced-grant-conditions-and-mandateGATEWAY.pdf</w:t>
        </w:r>
      </w:hyperlink>
      <w:r>
        <w:rPr>
          <w:sz w:val="16"/>
          <w:szCs w:val="16"/>
        </w:rPr>
        <w:t xml:space="preserve"> </w:t>
      </w:r>
    </w:p>
  </w:footnote>
  <w:footnote w:id="7">
    <w:p w14:paraId="69FEF8C4" w14:textId="14097B29" w:rsidR="00A567F4" w:rsidRDefault="00A567F4" w:rsidP="00A567F4">
      <w:pPr>
        <w:pStyle w:val="FootnoteText"/>
      </w:pPr>
      <w:r>
        <w:rPr>
          <w:rStyle w:val="FootnoteReference"/>
        </w:rPr>
        <w:footnoteRef/>
      </w:r>
      <w:r>
        <w:t xml:space="preserve"> </w:t>
      </w:r>
      <w:r w:rsidRPr="00316054">
        <w:rPr>
          <w:sz w:val="16"/>
          <w:szCs w:val="16"/>
        </w:rPr>
        <w:t>OHID (202</w:t>
      </w:r>
      <w:r w:rsidR="0035349A">
        <w:rPr>
          <w:sz w:val="16"/>
          <w:szCs w:val="16"/>
        </w:rPr>
        <w:t>5</w:t>
      </w:r>
      <w:r w:rsidRPr="00316054">
        <w:rPr>
          <w:sz w:val="16"/>
          <w:szCs w:val="16"/>
        </w:rPr>
        <w:t xml:space="preserve">) North Somerset </w:t>
      </w:r>
      <w:r w:rsidRPr="00316054">
        <w:rPr>
          <w:rStyle w:val="ui-provider"/>
          <w:sz w:val="16"/>
          <w:szCs w:val="16"/>
        </w:rPr>
        <w:t xml:space="preserve">Summary Profile of Local Authority Sexual Health (SPLASH). Online: </w:t>
      </w:r>
      <w:hyperlink r:id="rId6" w:anchor="page/13/gid/8000057/pat/15/ati/502/are/E06000024/iid/90742/age/1/sex/4/cat/-1/ctp/-1/yrr/1/cid/4/tbm/1" w:history="1">
        <w:r w:rsidR="00081FD5" w:rsidRPr="00081FD5">
          <w:rPr>
            <w:rStyle w:val="Hyperlink"/>
            <w:sz w:val="16"/>
            <w:szCs w:val="16"/>
          </w:rPr>
          <w:t>Sexual and Reproductive Health Profiles - Data | Fingertips | Department of Health and Social Care</w:t>
        </w:r>
      </w:hyperlink>
    </w:p>
  </w:footnote>
  <w:footnote w:id="8">
    <w:p w14:paraId="5C6E3C2C" w14:textId="77777777" w:rsidR="00072B22" w:rsidRPr="00281185" w:rsidRDefault="00072B22" w:rsidP="00072B22">
      <w:pPr>
        <w:pStyle w:val="FootnoteText"/>
        <w:jc w:val="left"/>
        <w:rPr>
          <w:sz w:val="16"/>
          <w:szCs w:val="16"/>
        </w:rPr>
      </w:pPr>
      <w:r w:rsidRPr="00281185">
        <w:rPr>
          <w:rStyle w:val="FootnoteReference"/>
          <w:sz w:val="16"/>
          <w:szCs w:val="16"/>
        </w:rPr>
        <w:footnoteRef/>
      </w:r>
      <w:r w:rsidRPr="00281185">
        <w:rPr>
          <w:sz w:val="16"/>
          <w:szCs w:val="16"/>
        </w:rPr>
        <w:t xml:space="preserve"> OHID (2022) Sexual and reproductive health and HIV: applying All Our Health. Online: </w:t>
      </w:r>
      <w:hyperlink r:id="rId7" w:history="1">
        <w:r w:rsidRPr="00281185">
          <w:rPr>
            <w:rStyle w:val="Hyperlink"/>
            <w:sz w:val="16"/>
            <w:szCs w:val="16"/>
          </w:rPr>
          <w:t>https://www.gov.uk/government/publications/sexual-and-reproductive-health-and-hiv-applying-all-our-health/sexual-and-reproductive-health-and-hiv-applying-all-our-health</w:t>
        </w:r>
      </w:hyperlink>
      <w:r w:rsidRPr="00281185">
        <w:rPr>
          <w:sz w:val="16"/>
          <w:szCs w:val="16"/>
        </w:rPr>
        <w:t xml:space="preserve"> </w:t>
      </w:r>
    </w:p>
  </w:footnote>
  <w:footnote w:id="9">
    <w:p w14:paraId="0C0748C4" w14:textId="77777777" w:rsidR="00072B22" w:rsidRPr="00281185" w:rsidRDefault="00072B22" w:rsidP="00072B22">
      <w:pPr>
        <w:pStyle w:val="FootnoteText"/>
        <w:jc w:val="left"/>
        <w:rPr>
          <w:rFonts w:cs="Arial"/>
          <w:sz w:val="16"/>
          <w:szCs w:val="16"/>
        </w:rPr>
      </w:pPr>
      <w:r w:rsidRPr="00281185">
        <w:rPr>
          <w:rStyle w:val="FootnoteReference"/>
          <w:sz w:val="16"/>
          <w:szCs w:val="16"/>
        </w:rPr>
        <w:footnoteRef/>
      </w:r>
      <w:r w:rsidRPr="00281185">
        <w:rPr>
          <w:sz w:val="16"/>
          <w:szCs w:val="16"/>
        </w:rPr>
        <w:t xml:space="preserve"> </w:t>
      </w:r>
      <w:r w:rsidRPr="00072B22">
        <w:rPr>
          <w:rStyle w:val="FootnoteReference"/>
          <w:rFonts w:cs="Arial"/>
          <w:sz w:val="16"/>
          <w:szCs w:val="16"/>
        </w:rPr>
        <w:footnoteRef/>
      </w:r>
      <w:r w:rsidRPr="00281185">
        <w:rPr>
          <w:rFonts w:cs="Arial"/>
          <w:sz w:val="16"/>
          <w:szCs w:val="16"/>
        </w:rPr>
        <w:t xml:space="preserve"> BNSSG ICS (2022) Integrated Care System (ICS) Strategy. Online: </w:t>
      </w:r>
      <w:hyperlink r:id="rId8" w:history="1">
        <w:r w:rsidRPr="00281185">
          <w:rPr>
            <w:rStyle w:val="Hyperlink"/>
            <w:sz w:val="16"/>
            <w:szCs w:val="16"/>
          </w:rPr>
          <w:t>https://bnssg.icb.nhs.uk/about-us/the-integrated-care-system-in-bnssg/integrated-care-system-strategy/</w:t>
        </w:r>
      </w:hyperlink>
      <w:r w:rsidRPr="00281185">
        <w:rPr>
          <w:rFonts w:cs="Arial"/>
          <w:sz w:val="16"/>
          <w:szCs w:val="16"/>
        </w:rPr>
        <w:t xml:space="preserve"> </w:t>
      </w:r>
    </w:p>
  </w:footnote>
  <w:footnote w:id="10">
    <w:p w14:paraId="0E7F4672" w14:textId="3B945CF6" w:rsidR="00072B22" w:rsidRPr="00281185" w:rsidRDefault="00072B22" w:rsidP="00072B22">
      <w:pPr>
        <w:pStyle w:val="FootnoteText"/>
        <w:jc w:val="left"/>
        <w:rPr>
          <w:sz w:val="16"/>
          <w:szCs w:val="16"/>
        </w:rPr>
      </w:pPr>
      <w:r w:rsidRPr="00281185">
        <w:rPr>
          <w:rStyle w:val="FootnoteReference"/>
          <w:sz w:val="16"/>
          <w:szCs w:val="16"/>
        </w:rPr>
        <w:footnoteRef/>
      </w:r>
      <w:r w:rsidRPr="00281185">
        <w:rPr>
          <w:sz w:val="16"/>
          <w:szCs w:val="16"/>
        </w:rPr>
        <w:t xml:space="preserve"> </w:t>
      </w:r>
      <w:r w:rsidRPr="00281185">
        <w:rPr>
          <w:rFonts w:cs="Arial"/>
          <w:sz w:val="16"/>
          <w:szCs w:val="16"/>
        </w:rPr>
        <w:t>North Somerset Health and Wellbeing Board (202</w:t>
      </w:r>
      <w:r w:rsidR="00BC5EF9">
        <w:rPr>
          <w:rFonts w:cs="Arial"/>
          <w:sz w:val="16"/>
          <w:szCs w:val="16"/>
        </w:rPr>
        <w:t>5</w:t>
      </w:r>
      <w:r w:rsidRPr="00281185">
        <w:rPr>
          <w:rFonts w:cs="Arial"/>
          <w:sz w:val="16"/>
          <w:szCs w:val="16"/>
        </w:rPr>
        <w:t>) Health and wellbeing strategy 202</w:t>
      </w:r>
      <w:r w:rsidR="00BC5EF9">
        <w:rPr>
          <w:rFonts w:cs="Arial"/>
          <w:sz w:val="16"/>
          <w:szCs w:val="16"/>
        </w:rPr>
        <w:t>5</w:t>
      </w:r>
      <w:r w:rsidRPr="00281185">
        <w:rPr>
          <w:rFonts w:cs="Arial"/>
          <w:sz w:val="16"/>
          <w:szCs w:val="16"/>
        </w:rPr>
        <w:t>-2</w:t>
      </w:r>
      <w:r w:rsidR="00BC5EF9">
        <w:rPr>
          <w:rFonts w:cs="Arial"/>
          <w:sz w:val="16"/>
          <w:szCs w:val="16"/>
        </w:rPr>
        <w:t>8</w:t>
      </w:r>
      <w:r w:rsidRPr="00281185">
        <w:rPr>
          <w:rFonts w:cs="Arial"/>
          <w:sz w:val="16"/>
          <w:szCs w:val="16"/>
        </w:rPr>
        <w:t xml:space="preserve">. Online: </w:t>
      </w:r>
      <w:hyperlink r:id="rId9" w:history="1">
        <w:r w:rsidR="00BC5EF9" w:rsidRPr="00BC5EF9">
          <w:rPr>
            <w:rStyle w:val="Hyperlink"/>
            <w:rFonts w:cs="Arial"/>
            <w:sz w:val="16"/>
            <w:szCs w:val="16"/>
          </w:rPr>
          <w:t>Joint health and wellbeing strategy 2025-28 | North Somerset Council</w:t>
        </w:r>
      </w:hyperlink>
    </w:p>
  </w:footnote>
  <w:footnote w:id="11">
    <w:p w14:paraId="43BE4294" w14:textId="77777777" w:rsidR="00072B22" w:rsidRDefault="00072B22" w:rsidP="00072B22">
      <w:pPr>
        <w:pStyle w:val="FootnoteText"/>
        <w:jc w:val="left"/>
      </w:pPr>
      <w:r w:rsidRPr="00281185">
        <w:rPr>
          <w:rStyle w:val="FootnoteReference"/>
          <w:sz w:val="16"/>
          <w:szCs w:val="16"/>
        </w:rPr>
        <w:footnoteRef/>
      </w:r>
      <w:r w:rsidRPr="00281185">
        <w:rPr>
          <w:sz w:val="16"/>
          <w:szCs w:val="16"/>
        </w:rPr>
        <w:t xml:space="preserve"> </w:t>
      </w:r>
      <w:r w:rsidRPr="00281185">
        <w:rPr>
          <w:rFonts w:cs="Arial"/>
          <w:sz w:val="16"/>
          <w:szCs w:val="16"/>
        </w:rPr>
        <w:t xml:space="preserve">North Somerset Council (2024) North Somerset Corporate Plan 2024 – 2028. Online: </w:t>
      </w:r>
      <w:hyperlink r:id="rId10" w:history="1">
        <w:r w:rsidRPr="00281185">
          <w:rPr>
            <w:rStyle w:val="Hyperlink"/>
            <w:sz w:val="16"/>
            <w:szCs w:val="16"/>
          </w:rPr>
          <w:t>https://n-somerset.gov.uk/sites/default/files/2024-04/corporate%20plan%202024-28.pdf</w:t>
        </w:r>
      </w:hyperlink>
    </w:p>
  </w:footnote>
  <w:footnote w:id="12">
    <w:p w14:paraId="750D0652" w14:textId="77777777" w:rsidR="00072B22" w:rsidRPr="002A1EB3" w:rsidRDefault="00072B22" w:rsidP="00072B22">
      <w:pPr>
        <w:pStyle w:val="FootnoteText"/>
        <w:jc w:val="left"/>
        <w:rPr>
          <w:sz w:val="16"/>
          <w:szCs w:val="16"/>
        </w:rPr>
      </w:pPr>
      <w:r w:rsidRPr="002A1EB3">
        <w:rPr>
          <w:rStyle w:val="FootnoteReference"/>
          <w:sz w:val="16"/>
          <w:szCs w:val="16"/>
        </w:rPr>
        <w:footnoteRef/>
      </w:r>
      <w:r w:rsidRPr="002A1EB3">
        <w:rPr>
          <w:sz w:val="16"/>
          <w:szCs w:val="16"/>
        </w:rPr>
        <w:t xml:space="preserve"> PHE (2016) Guidance on the Ringfenced Public Health Grant Conditions and Mandated Functions in England. Online: </w:t>
      </w:r>
      <w:hyperlink r:id="rId11" w:history="1">
        <w:r w:rsidRPr="005C438A">
          <w:rPr>
            <w:rStyle w:val="Hyperlink"/>
            <w:sz w:val="16"/>
            <w:szCs w:val="16"/>
          </w:rPr>
          <w:t>https://www.adph.org.uk/wp-content/uploads/2016/09/Interpreting-the-ringfenced-grant-conditions-and-mandateGATEWAY.pdf</w:t>
        </w:r>
      </w:hyperlink>
      <w:r>
        <w:rPr>
          <w:sz w:val="16"/>
          <w:szCs w:val="16"/>
        </w:rPr>
        <w:t xml:space="preserve"> </w:t>
      </w:r>
    </w:p>
  </w:footnote>
  <w:footnote w:id="13">
    <w:p w14:paraId="0FB880D6" w14:textId="04C27156" w:rsidR="00072B22" w:rsidRDefault="00072B22" w:rsidP="00072B22">
      <w:pPr>
        <w:pStyle w:val="FootnoteText"/>
      </w:pPr>
      <w:r>
        <w:rPr>
          <w:rStyle w:val="FootnoteReference"/>
        </w:rPr>
        <w:footnoteRef/>
      </w:r>
      <w:r>
        <w:t xml:space="preserve"> </w:t>
      </w:r>
      <w:r w:rsidR="00C84999" w:rsidRPr="00316054">
        <w:rPr>
          <w:sz w:val="16"/>
          <w:szCs w:val="16"/>
        </w:rPr>
        <w:t>OHID (202</w:t>
      </w:r>
      <w:r w:rsidR="00C84999">
        <w:rPr>
          <w:sz w:val="16"/>
          <w:szCs w:val="16"/>
        </w:rPr>
        <w:t>5</w:t>
      </w:r>
      <w:r w:rsidR="00C84999" w:rsidRPr="00316054">
        <w:rPr>
          <w:sz w:val="16"/>
          <w:szCs w:val="16"/>
        </w:rPr>
        <w:t xml:space="preserve">) North Somerset </w:t>
      </w:r>
      <w:r w:rsidR="00C84999" w:rsidRPr="00316054">
        <w:rPr>
          <w:rStyle w:val="ui-provider"/>
          <w:sz w:val="16"/>
          <w:szCs w:val="16"/>
        </w:rPr>
        <w:t xml:space="preserve">Summary Profile of Local Authority Sexual Health (SPLASH). Online: </w:t>
      </w:r>
      <w:hyperlink r:id="rId12" w:anchor="page/13/gid/8000057/pat/15/ati/502/are/E06000024/iid/90742/age/1/sex/4/cat/-1/ctp/-1/yrr/1/cid/4/tbm/1" w:history="1">
        <w:r w:rsidR="00C84999" w:rsidRPr="00081FD5">
          <w:rPr>
            <w:rStyle w:val="Hyperlink"/>
            <w:sz w:val="16"/>
            <w:szCs w:val="16"/>
          </w:rPr>
          <w:t>Sexual and Reproductive Health Profiles - Data | Fingertips | Department of Health and Social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039" w14:textId="77777777" w:rsidR="009A44D3" w:rsidRDefault="009A4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1AF3" w14:textId="77777777" w:rsidR="009A44D3" w:rsidRDefault="009A4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21C" w14:textId="77777777" w:rsidR="009A44D3" w:rsidRDefault="009A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7A7"/>
    <w:multiLevelType w:val="multilevel"/>
    <w:tmpl w:val="24C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1F21"/>
    <w:multiLevelType w:val="hybridMultilevel"/>
    <w:tmpl w:val="E1507FEA"/>
    <w:lvl w:ilvl="0" w:tplc="DCD6AE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5680"/>
    <w:multiLevelType w:val="hybridMultilevel"/>
    <w:tmpl w:val="AB8469AA"/>
    <w:lvl w:ilvl="0" w:tplc="91B0719E">
      <w:start w:val="1"/>
      <w:numFmt w:val="bullet"/>
      <w:lvlText w:val=""/>
      <w:lvlJc w:val="left"/>
      <w:pPr>
        <w:ind w:left="67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702B6"/>
    <w:multiLevelType w:val="hybridMultilevel"/>
    <w:tmpl w:val="E0885A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83845"/>
    <w:multiLevelType w:val="multilevel"/>
    <w:tmpl w:val="BD38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113E9"/>
    <w:multiLevelType w:val="hybridMultilevel"/>
    <w:tmpl w:val="A2007DE4"/>
    <w:lvl w:ilvl="0" w:tplc="0936A7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0596D"/>
    <w:multiLevelType w:val="hybridMultilevel"/>
    <w:tmpl w:val="0FC66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C15FF0"/>
    <w:multiLevelType w:val="multilevel"/>
    <w:tmpl w:val="ACF49560"/>
    <w:lvl w:ilvl="0">
      <w:start w:val="1"/>
      <w:numFmt w:val="bullet"/>
      <w:lvlText w:val=""/>
      <w:lvlJc w:val="left"/>
      <w:pPr>
        <w:ind w:left="720" w:hanging="360"/>
      </w:pPr>
      <w:rPr>
        <w:rFonts w:ascii="Symbol" w:hAnsi="Symbol"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612153"/>
    <w:multiLevelType w:val="hybridMultilevel"/>
    <w:tmpl w:val="39C8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638C0"/>
    <w:multiLevelType w:val="multilevel"/>
    <w:tmpl w:val="B2EA47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1A179E"/>
    <w:multiLevelType w:val="hybridMultilevel"/>
    <w:tmpl w:val="9C8AF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307B4"/>
    <w:multiLevelType w:val="hybridMultilevel"/>
    <w:tmpl w:val="5F1E8E78"/>
    <w:lvl w:ilvl="0" w:tplc="08090001">
      <w:start w:val="1"/>
      <w:numFmt w:val="bullet"/>
      <w:lvlText w:val=""/>
      <w:lvlJc w:val="left"/>
      <w:pPr>
        <w:ind w:left="643"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16E95"/>
    <w:multiLevelType w:val="multilevel"/>
    <w:tmpl w:val="ACF49560"/>
    <w:lvl w:ilvl="0">
      <w:start w:val="1"/>
      <w:numFmt w:val="bullet"/>
      <w:lvlText w:val=""/>
      <w:lvlJc w:val="left"/>
      <w:pPr>
        <w:ind w:left="720" w:hanging="360"/>
      </w:pPr>
      <w:rPr>
        <w:rFonts w:ascii="Symbol" w:hAnsi="Symbol"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8F4222"/>
    <w:multiLevelType w:val="hybridMultilevel"/>
    <w:tmpl w:val="BDA6F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B01D4"/>
    <w:multiLevelType w:val="hybridMultilevel"/>
    <w:tmpl w:val="C0CCE244"/>
    <w:lvl w:ilvl="0" w:tplc="3BBC1964">
      <w:start w:val="1"/>
      <w:numFmt w:val="bullet"/>
      <w:lvlText w:val=""/>
      <w:lvlJc w:val="left"/>
      <w:pPr>
        <w:ind w:left="720" w:hanging="360"/>
      </w:pPr>
      <w:rPr>
        <w:rFonts w:ascii="Symbol" w:hAnsi="Symbol" w:hint="default"/>
        <w:color w:val="000000" w:themeColor="text1"/>
      </w:rPr>
    </w:lvl>
    <w:lvl w:ilvl="1" w:tplc="D186B7F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DF68D"/>
    <w:multiLevelType w:val="hybridMultilevel"/>
    <w:tmpl w:val="6404676C"/>
    <w:lvl w:ilvl="0" w:tplc="06041542">
      <w:start w:val="1"/>
      <w:numFmt w:val="decimal"/>
      <w:lvlText w:val="%1."/>
      <w:lvlJc w:val="left"/>
      <w:pPr>
        <w:ind w:left="720" w:hanging="360"/>
      </w:pPr>
    </w:lvl>
    <w:lvl w:ilvl="1" w:tplc="E2A4513A">
      <w:start w:val="1"/>
      <w:numFmt w:val="lowerLetter"/>
      <w:lvlText w:val="%2."/>
      <w:lvlJc w:val="left"/>
      <w:pPr>
        <w:ind w:left="1440" w:hanging="360"/>
      </w:pPr>
    </w:lvl>
    <w:lvl w:ilvl="2" w:tplc="B7C0B89C">
      <w:start w:val="1"/>
      <w:numFmt w:val="lowerRoman"/>
      <w:lvlText w:val="%3."/>
      <w:lvlJc w:val="right"/>
      <w:pPr>
        <w:ind w:left="2160" w:hanging="180"/>
      </w:pPr>
    </w:lvl>
    <w:lvl w:ilvl="3" w:tplc="D6200966">
      <w:start w:val="1"/>
      <w:numFmt w:val="decimal"/>
      <w:lvlText w:val="%4."/>
      <w:lvlJc w:val="left"/>
      <w:pPr>
        <w:ind w:left="2880" w:hanging="360"/>
      </w:pPr>
    </w:lvl>
    <w:lvl w:ilvl="4" w:tplc="D85E1C50">
      <w:start w:val="1"/>
      <w:numFmt w:val="lowerLetter"/>
      <w:lvlText w:val="%5."/>
      <w:lvlJc w:val="left"/>
      <w:pPr>
        <w:ind w:left="3600" w:hanging="360"/>
      </w:pPr>
    </w:lvl>
    <w:lvl w:ilvl="5" w:tplc="84228E36">
      <w:start w:val="1"/>
      <w:numFmt w:val="lowerRoman"/>
      <w:lvlText w:val="%6."/>
      <w:lvlJc w:val="right"/>
      <w:pPr>
        <w:ind w:left="4320" w:hanging="180"/>
      </w:pPr>
    </w:lvl>
    <w:lvl w:ilvl="6" w:tplc="3056D8F2">
      <w:start w:val="1"/>
      <w:numFmt w:val="decimal"/>
      <w:lvlText w:val="%7."/>
      <w:lvlJc w:val="left"/>
      <w:pPr>
        <w:ind w:left="5040" w:hanging="360"/>
      </w:pPr>
    </w:lvl>
    <w:lvl w:ilvl="7" w:tplc="50D6B304">
      <w:start w:val="1"/>
      <w:numFmt w:val="lowerLetter"/>
      <w:lvlText w:val="%8."/>
      <w:lvlJc w:val="left"/>
      <w:pPr>
        <w:ind w:left="5760" w:hanging="360"/>
      </w:pPr>
    </w:lvl>
    <w:lvl w:ilvl="8" w:tplc="2F507FC2">
      <w:start w:val="1"/>
      <w:numFmt w:val="lowerRoman"/>
      <w:lvlText w:val="%9."/>
      <w:lvlJc w:val="right"/>
      <w:pPr>
        <w:ind w:left="6480" w:hanging="180"/>
      </w:pPr>
    </w:lvl>
  </w:abstractNum>
  <w:abstractNum w:abstractNumId="16" w15:restartNumberingAfterBreak="0">
    <w:nsid w:val="370D234F"/>
    <w:multiLevelType w:val="multilevel"/>
    <w:tmpl w:val="9930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E00F0A"/>
    <w:multiLevelType w:val="hybridMultilevel"/>
    <w:tmpl w:val="3800D6D8"/>
    <w:lvl w:ilvl="0" w:tplc="954850CC">
      <w:start w:val="1"/>
      <w:numFmt w:val="bullet"/>
      <w:lvlText w:val=""/>
      <w:lvlJc w:val="left"/>
      <w:pPr>
        <w:ind w:left="720" w:hanging="360"/>
      </w:pPr>
      <w:rPr>
        <w:rFonts w:ascii="Symbol" w:hAnsi="Symbol" w:hint="default"/>
      </w:rPr>
    </w:lvl>
    <w:lvl w:ilvl="1" w:tplc="3000EF78">
      <w:start w:val="1"/>
      <w:numFmt w:val="bullet"/>
      <w:lvlText w:val="o"/>
      <w:lvlJc w:val="left"/>
      <w:pPr>
        <w:ind w:left="1440" w:hanging="360"/>
      </w:pPr>
      <w:rPr>
        <w:rFonts w:ascii="Courier New" w:hAnsi="Courier New" w:hint="default"/>
      </w:rPr>
    </w:lvl>
    <w:lvl w:ilvl="2" w:tplc="7DC0A392">
      <w:start w:val="1"/>
      <w:numFmt w:val="bullet"/>
      <w:lvlText w:val=""/>
      <w:lvlJc w:val="left"/>
      <w:pPr>
        <w:ind w:left="2160" w:hanging="360"/>
      </w:pPr>
      <w:rPr>
        <w:rFonts w:ascii="Wingdings" w:hAnsi="Wingdings" w:hint="default"/>
      </w:rPr>
    </w:lvl>
    <w:lvl w:ilvl="3" w:tplc="B04AB8D6">
      <w:start w:val="1"/>
      <w:numFmt w:val="bullet"/>
      <w:lvlText w:val=""/>
      <w:lvlJc w:val="left"/>
      <w:pPr>
        <w:ind w:left="2880" w:hanging="360"/>
      </w:pPr>
      <w:rPr>
        <w:rFonts w:ascii="Symbol" w:hAnsi="Symbol" w:hint="default"/>
      </w:rPr>
    </w:lvl>
    <w:lvl w:ilvl="4" w:tplc="81763236">
      <w:start w:val="1"/>
      <w:numFmt w:val="bullet"/>
      <w:lvlText w:val="o"/>
      <w:lvlJc w:val="left"/>
      <w:pPr>
        <w:ind w:left="3600" w:hanging="360"/>
      </w:pPr>
      <w:rPr>
        <w:rFonts w:ascii="Courier New" w:hAnsi="Courier New" w:hint="default"/>
      </w:rPr>
    </w:lvl>
    <w:lvl w:ilvl="5" w:tplc="A9B05080">
      <w:start w:val="1"/>
      <w:numFmt w:val="bullet"/>
      <w:lvlText w:val=""/>
      <w:lvlJc w:val="left"/>
      <w:pPr>
        <w:ind w:left="4320" w:hanging="360"/>
      </w:pPr>
      <w:rPr>
        <w:rFonts w:ascii="Wingdings" w:hAnsi="Wingdings" w:hint="default"/>
      </w:rPr>
    </w:lvl>
    <w:lvl w:ilvl="6" w:tplc="B5C01B8E">
      <w:start w:val="1"/>
      <w:numFmt w:val="bullet"/>
      <w:lvlText w:val=""/>
      <w:lvlJc w:val="left"/>
      <w:pPr>
        <w:ind w:left="5040" w:hanging="360"/>
      </w:pPr>
      <w:rPr>
        <w:rFonts w:ascii="Symbol" w:hAnsi="Symbol" w:hint="default"/>
      </w:rPr>
    </w:lvl>
    <w:lvl w:ilvl="7" w:tplc="88B643E8">
      <w:start w:val="1"/>
      <w:numFmt w:val="bullet"/>
      <w:lvlText w:val="o"/>
      <w:lvlJc w:val="left"/>
      <w:pPr>
        <w:ind w:left="5760" w:hanging="360"/>
      </w:pPr>
      <w:rPr>
        <w:rFonts w:ascii="Courier New" w:hAnsi="Courier New" w:hint="default"/>
      </w:rPr>
    </w:lvl>
    <w:lvl w:ilvl="8" w:tplc="8BF0D6DC">
      <w:start w:val="1"/>
      <w:numFmt w:val="bullet"/>
      <w:lvlText w:val=""/>
      <w:lvlJc w:val="left"/>
      <w:pPr>
        <w:ind w:left="6480" w:hanging="360"/>
      </w:pPr>
      <w:rPr>
        <w:rFonts w:ascii="Wingdings" w:hAnsi="Wingdings" w:hint="default"/>
      </w:rPr>
    </w:lvl>
  </w:abstractNum>
  <w:abstractNum w:abstractNumId="18" w15:restartNumberingAfterBreak="0">
    <w:nsid w:val="3A6C7979"/>
    <w:multiLevelType w:val="multilevel"/>
    <w:tmpl w:val="B46069C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16EAA"/>
    <w:multiLevelType w:val="hybridMultilevel"/>
    <w:tmpl w:val="0EB6A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21C23"/>
    <w:multiLevelType w:val="hybridMultilevel"/>
    <w:tmpl w:val="D96243CC"/>
    <w:lvl w:ilvl="0" w:tplc="08090009">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92493"/>
    <w:multiLevelType w:val="hybridMultilevel"/>
    <w:tmpl w:val="9AA8B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C7157"/>
    <w:multiLevelType w:val="multilevel"/>
    <w:tmpl w:val="B8F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19F93"/>
    <w:multiLevelType w:val="hybridMultilevel"/>
    <w:tmpl w:val="602E4634"/>
    <w:lvl w:ilvl="0" w:tplc="B48AA3CA">
      <w:start w:val="1"/>
      <w:numFmt w:val="bullet"/>
      <w:lvlText w:val="·"/>
      <w:lvlJc w:val="left"/>
      <w:pPr>
        <w:ind w:left="720" w:hanging="360"/>
      </w:pPr>
      <w:rPr>
        <w:rFonts w:ascii="Symbol" w:hAnsi="Symbol" w:hint="default"/>
      </w:rPr>
    </w:lvl>
    <w:lvl w:ilvl="1" w:tplc="1B6C85E4">
      <w:start w:val="1"/>
      <w:numFmt w:val="bullet"/>
      <w:lvlText w:val="o"/>
      <w:lvlJc w:val="left"/>
      <w:pPr>
        <w:ind w:left="1440" w:hanging="360"/>
      </w:pPr>
      <w:rPr>
        <w:rFonts w:ascii="Courier New" w:hAnsi="Courier New" w:hint="default"/>
      </w:rPr>
    </w:lvl>
    <w:lvl w:ilvl="2" w:tplc="DEBC76DA">
      <w:start w:val="1"/>
      <w:numFmt w:val="bullet"/>
      <w:lvlText w:val=""/>
      <w:lvlJc w:val="left"/>
      <w:pPr>
        <w:ind w:left="2160" w:hanging="360"/>
      </w:pPr>
      <w:rPr>
        <w:rFonts w:ascii="Wingdings" w:hAnsi="Wingdings" w:hint="default"/>
      </w:rPr>
    </w:lvl>
    <w:lvl w:ilvl="3" w:tplc="F2B0F9A6">
      <w:start w:val="1"/>
      <w:numFmt w:val="bullet"/>
      <w:lvlText w:val=""/>
      <w:lvlJc w:val="left"/>
      <w:pPr>
        <w:ind w:left="2880" w:hanging="360"/>
      </w:pPr>
      <w:rPr>
        <w:rFonts w:ascii="Symbol" w:hAnsi="Symbol" w:hint="default"/>
      </w:rPr>
    </w:lvl>
    <w:lvl w:ilvl="4" w:tplc="DA6AB382">
      <w:start w:val="1"/>
      <w:numFmt w:val="bullet"/>
      <w:lvlText w:val="o"/>
      <w:lvlJc w:val="left"/>
      <w:pPr>
        <w:ind w:left="3600" w:hanging="360"/>
      </w:pPr>
      <w:rPr>
        <w:rFonts w:ascii="Courier New" w:hAnsi="Courier New" w:hint="default"/>
      </w:rPr>
    </w:lvl>
    <w:lvl w:ilvl="5" w:tplc="F2D69A02">
      <w:start w:val="1"/>
      <w:numFmt w:val="bullet"/>
      <w:lvlText w:val=""/>
      <w:lvlJc w:val="left"/>
      <w:pPr>
        <w:ind w:left="4320" w:hanging="360"/>
      </w:pPr>
      <w:rPr>
        <w:rFonts w:ascii="Wingdings" w:hAnsi="Wingdings" w:hint="default"/>
      </w:rPr>
    </w:lvl>
    <w:lvl w:ilvl="6" w:tplc="B17A4C30">
      <w:start w:val="1"/>
      <w:numFmt w:val="bullet"/>
      <w:lvlText w:val=""/>
      <w:lvlJc w:val="left"/>
      <w:pPr>
        <w:ind w:left="5040" w:hanging="360"/>
      </w:pPr>
      <w:rPr>
        <w:rFonts w:ascii="Symbol" w:hAnsi="Symbol" w:hint="default"/>
      </w:rPr>
    </w:lvl>
    <w:lvl w:ilvl="7" w:tplc="42066142">
      <w:start w:val="1"/>
      <w:numFmt w:val="bullet"/>
      <w:lvlText w:val="o"/>
      <w:lvlJc w:val="left"/>
      <w:pPr>
        <w:ind w:left="5760" w:hanging="360"/>
      </w:pPr>
      <w:rPr>
        <w:rFonts w:ascii="Courier New" w:hAnsi="Courier New" w:hint="default"/>
      </w:rPr>
    </w:lvl>
    <w:lvl w:ilvl="8" w:tplc="B07E8290">
      <w:start w:val="1"/>
      <w:numFmt w:val="bullet"/>
      <w:lvlText w:val=""/>
      <w:lvlJc w:val="left"/>
      <w:pPr>
        <w:ind w:left="6480" w:hanging="360"/>
      </w:pPr>
      <w:rPr>
        <w:rFonts w:ascii="Wingdings" w:hAnsi="Wingdings" w:hint="default"/>
      </w:rPr>
    </w:lvl>
  </w:abstractNum>
  <w:abstractNum w:abstractNumId="25" w15:restartNumberingAfterBreak="0">
    <w:nsid w:val="46EB646D"/>
    <w:multiLevelType w:val="hybridMultilevel"/>
    <w:tmpl w:val="FC90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E53CE"/>
    <w:multiLevelType w:val="multilevel"/>
    <w:tmpl w:val="AE963EA8"/>
    <w:lvl w:ilvl="0">
      <w:start w:val="1"/>
      <w:numFmt w:val="bullet"/>
      <w:lvlText w:val=""/>
      <w:lvlJc w:val="left"/>
      <w:pPr>
        <w:ind w:left="720" w:hanging="360"/>
      </w:pPr>
      <w:rPr>
        <w:rFonts w:ascii="Symbol" w:hAnsi="Symbol"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B94BB3"/>
    <w:multiLevelType w:val="hybridMultilevel"/>
    <w:tmpl w:val="E10882FE"/>
    <w:lvl w:ilvl="0" w:tplc="D3BC5B40">
      <w:start w:val="1"/>
      <w:numFmt w:val="decimal"/>
      <w:lvlText w:val="%1."/>
      <w:lvlJc w:val="left"/>
      <w:pPr>
        <w:ind w:left="720" w:hanging="360"/>
      </w:pPr>
    </w:lvl>
    <w:lvl w:ilvl="1" w:tplc="FB267A06">
      <w:start w:val="1"/>
      <w:numFmt w:val="lowerLetter"/>
      <w:lvlText w:val="%2."/>
      <w:lvlJc w:val="left"/>
      <w:pPr>
        <w:ind w:left="1440" w:hanging="360"/>
      </w:pPr>
    </w:lvl>
    <w:lvl w:ilvl="2" w:tplc="CEE825A8">
      <w:start w:val="1"/>
      <w:numFmt w:val="lowerRoman"/>
      <w:lvlText w:val="%3."/>
      <w:lvlJc w:val="right"/>
      <w:pPr>
        <w:ind w:left="2160" w:hanging="180"/>
      </w:pPr>
    </w:lvl>
    <w:lvl w:ilvl="3" w:tplc="275427C0">
      <w:start w:val="1"/>
      <w:numFmt w:val="decimal"/>
      <w:lvlText w:val="%4."/>
      <w:lvlJc w:val="left"/>
      <w:pPr>
        <w:ind w:left="2880" w:hanging="360"/>
      </w:pPr>
    </w:lvl>
    <w:lvl w:ilvl="4" w:tplc="592C4958">
      <w:start w:val="1"/>
      <w:numFmt w:val="lowerLetter"/>
      <w:lvlText w:val="%5."/>
      <w:lvlJc w:val="left"/>
      <w:pPr>
        <w:ind w:left="3600" w:hanging="360"/>
      </w:pPr>
    </w:lvl>
    <w:lvl w:ilvl="5" w:tplc="1A5A6F9A">
      <w:start w:val="1"/>
      <w:numFmt w:val="lowerRoman"/>
      <w:lvlText w:val="%6."/>
      <w:lvlJc w:val="right"/>
      <w:pPr>
        <w:ind w:left="4320" w:hanging="180"/>
      </w:pPr>
    </w:lvl>
    <w:lvl w:ilvl="6" w:tplc="E66AEE1E">
      <w:start w:val="1"/>
      <w:numFmt w:val="decimal"/>
      <w:lvlText w:val="%7."/>
      <w:lvlJc w:val="left"/>
      <w:pPr>
        <w:ind w:left="5040" w:hanging="360"/>
      </w:pPr>
    </w:lvl>
    <w:lvl w:ilvl="7" w:tplc="AC0CBBDA">
      <w:start w:val="1"/>
      <w:numFmt w:val="lowerLetter"/>
      <w:lvlText w:val="%8."/>
      <w:lvlJc w:val="left"/>
      <w:pPr>
        <w:ind w:left="5760" w:hanging="360"/>
      </w:pPr>
    </w:lvl>
    <w:lvl w:ilvl="8" w:tplc="2F88FED4">
      <w:start w:val="1"/>
      <w:numFmt w:val="lowerRoman"/>
      <w:lvlText w:val="%9."/>
      <w:lvlJc w:val="right"/>
      <w:pPr>
        <w:ind w:left="6480" w:hanging="180"/>
      </w:pPr>
    </w:lvl>
  </w:abstractNum>
  <w:abstractNum w:abstractNumId="28" w15:restartNumberingAfterBreak="0">
    <w:nsid w:val="58475195"/>
    <w:multiLevelType w:val="hybridMultilevel"/>
    <w:tmpl w:val="1476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322DA"/>
    <w:multiLevelType w:val="multilevel"/>
    <w:tmpl w:val="ACF49560"/>
    <w:lvl w:ilvl="0">
      <w:start w:val="1"/>
      <w:numFmt w:val="bullet"/>
      <w:lvlText w:val=""/>
      <w:lvlJc w:val="left"/>
      <w:pPr>
        <w:ind w:left="720" w:hanging="360"/>
      </w:pPr>
      <w:rPr>
        <w:rFonts w:ascii="Symbol" w:hAnsi="Symbol"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B3157F"/>
    <w:multiLevelType w:val="multilevel"/>
    <w:tmpl w:val="AE963EA8"/>
    <w:lvl w:ilvl="0">
      <w:start w:val="1"/>
      <w:numFmt w:val="bullet"/>
      <w:lvlText w:val=""/>
      <w:lvlJc w:val="left"/>
      <w:pPr>
        <w:ind w:left="720" w:hanging="360"/>
      </w:pPr>
      <w:rPr>
        <w:rFonts w:ascii="Symbol" w:hAnsi="Symbol"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6D2B52"/>
    <w:multiLevelType w:val="hybridMultilevel"/>
    <w:tmpl w:val="2B36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E7501"/>
    <w:multiLevelType w:val="hybridMultilevel"/>
    <w:tmpl w:val="3AECDE1A"/>
    <w:lvl w:ilvl="0" w:tplc="91B0719E">
      <w:start w:val="1"/>
      <w:numFmt w:val="bullet"/>
      <w:lvlText w:val=""/>
      <w:lvlJc w:val="left"/>
      <w:pPr>
        <w:ind w:left="67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36616"/>
    <w:multiLevelType w:val="hybridMultilevel"/>
    <w:tmpl w:val="862255C4"/>
    <w:lvl w:ilvl="0" w:tplc="B2001E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41DAB"/>
    <w:multiLevelType w:val="multilevel"/>
    <w:tmpl w:val="BDE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14562"/>
    <w:multiLevelType w:val="multilevel"/>
    <w:tmpl w:val="951CCF66"/>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031B70"/>
    <w:multiLevelType w:val="hybridMultilevel"/>
    <w:tmpl w:val="81843C44"/>
    <w:lvl w:ilvl="0" w:tplc="686A2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62248"/>
    <w:multiLevelType w:val="hybridMultilevel"/>
    <w:tmpl w:val="DCCE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13D55"/>
    <w:multiLevelType w:val="hybridMultilevel"/>
    <w:tmpl w:val="01FE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468FC"/>
    <w:multiLevelType w:val="hybridMultilevel"/>
    <w:tmpl w:val="AFC80764"/>
    <w:lvl w:ilvl="0" w:tplc="91B0719E">
      <w:start w:val="1"/>
      <w:numFmt w:val="bullet"/>
      <w:lvlText w:val=""/>
      <w:lvlJc w:val="left"/>
      <w:pPr>
        <w:ind w:left="67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F6325"/>
    <w:multiLevelType w:val="hybridMultilevel"/>
    <w:tmpl w:val="6C266C8C"/>
    <w:lvl w:ilvl="0" w:tplc="91B0719E">
      <w:start w:val="1"/>
      <w:numFmt w:val="bullet"/>
      <w:lvlText w:val=""/>
      <w:lvlJc w:val="left"/>
      <w:pPr>
        <w:ind w:left="678" w:hanging="360"/>
      </w:pPr>
      <w:rPr>
        <w:rFonts w:ascii="Symbol" w:hAnsi="Symbol" w:hint="default"/>
        <w:color w:val="auto"/>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1" w15:restartNumberingAfterBreak="0">
    <w:nsid w:val="7A205E7B"/>
    <w:multiLevelType w:val="hybridMultilevel"/>
    <w:tmpl w:val="DC5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86820"/>
    <w:multiLevelType w:val="hybridMultilevel"/>
    <w:tmpl w:val="81EA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1C2B18"/>
    <w:multiLevelType w:val="multilevel"/>
    <w:tmpl w:val="0A1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90D55"/>
    <w:multiLevelType w:val="hybridMultilevel"/>
    <w:tmpl w:val="0726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084233">
    <w:abstractNumId w:val="17"/>
  </w:num>
  <w:num w:numId="2" w16cid:durableId="797146896">
    <w:abstractNumId w:val="24"/>
  </w:num>
  <w:num w:numId="3" w16cid:durableId="1150512110">
    <w:abstractNumId w:val="15"/>
  </w:num>
  <w:num w:numId="4" w16cid:durableId="1130781445">
    <w:abstractNumId w:val="27"/>
  </w:num>
  <w:num w:numId="5" w16cid:durableId="1462572544">
    <w:abstractNumId w:val="42"/>
  </w:num>
  <w:num w:numId="6" w16cid:durableId="1451512280">
    <w:abstractNumId w:val="40"/>
  </w:num>
  <w:num w:numId="7" w16cid:durableId="196431299">
    <w:abstractNumId w:val="6"/>
  </w:num>
  <w:num w:numId="8" w16cid:durableId="1711831805">
    <w:abstractNumId w:val="1"/>
  </w:num>
  <w:num w:numId="9" w16cid:durableId="2118060876">
    <w:abstractNumId w:val="38"/>
  </w:num>
  <w:num w:numId="10" w16cid:durableId="941961785">
    <w:abstractNumId w:val="20"/>
  </w:num>
  <w:num w:numId="11" w16cid:durableId="69087882">
    <w:abstractNumId w:val="36"/>
  </w:num>
  <w:num w:numId="12" w16cid:durableId="315912285">
    <w:abstractNumId w:val="11"/>
  </w:num>
  <w:num w:numId="13" w16cid:durableId="1329794227">
    <w:abstractNumId w:val="8"/>
  </w:num>
  <w:num w:numId="14" w16cid:durableId="1887059805">
    <w:abstractNumId w:val="5"/>
  </w:num>
  <w:num w:numId="15" w16cid:durableId="1396780515">
    <w:abstractNumId w:val="39"/>
  </w:num>
  <w:num w:numId="16" w16cid:durableId="1778018373">
    <w:abstractNumId w:val="32"/>
  </w:num>
  <w:num w:numId="17" w16cid:durableId="108209346">
    <w:abstractNumId w:val="2"/>
  </w:num>
  <w:num w:numId="18" w16cid:durableId="129128242">
    <w:abstractNumId w:val="33"/>
  </w:num>
  <w:num w:numId="19" w16cid:durableId="952706113">
    <w:abstractNumId w:val="9"/>
  </w:num>
  <w:num w:numId="20" w16cid:durableId="623847255">
    <w:abstractNumId w:val="3"/>
  </w:num>
  <w:num w:numId="21" w16cid:durableId="369689261">
    <w:abstractNumId w:val="0"/>
  </w:num>
  <w:num w:numId="22" w16cid:durableId="1735618402">
    <w:abstractNumId w:val="29"/>
  </w:num>
  <w:num w:numId="23" w16cid:durableId="1591888377">
    <w:abstractNumId w:val="12"/>
  </w:num>
  <w:num w:numId="24" w16cid:durableId="576018788">
    <w:abstractNumId w:val="7"/>
  </w:num>
  <w:num w:numId="25" w16cid:durableId="327367031">
    <w:abstractNumId w:val="26"/>
  </w:num>
  <w:num w:numId="26" w16cid:durableId="1180966092">
    <w:abstractNumId w:val="35"/>
  </w:num>
  <w:num w:numId="27" w16cid:durableId="383405299">
    <w:abstractNumId w:val="30"/>
  </w:num>
  <w:num w:numId="28" w16cid:durableId="2036036242">
    <w:abstractNumId w:val="10"/>
  </w:num>
  <w:num w:numId="29" w16cid:durableId="1728332167">
    <w:abstractNumId w:val="13"/>
  </w:num>
  <w:num w:numId="30" w16cid:durableId="895046283">
    <w:abstractNumId w:val="22"/>
  </w:num>
  <w:num w:numId="31" w16cid:durableId="1066338396">
    <w:abstractNumId w:val="44"/>
  </w:num>
  <w:num w:numId="32" w16cid:durableId="305595239">
    <w:abstractNumId w:val="37"/>
  </w:num>
  <w:num w:numId="33" w16cid:durableId="1861358615">
    <w:abstractNumId w:val="16"/>
  </w:num>
  <w:num w:numId="34" w16cid:durableId="915867292">
    <w:abstractNumId w:val="43"/>
  </w:num>
  <w:num w:numId="35" w16cid:durableId="1350990745">
    <w:abstractNumId w:val="41"/>
  </w:num>
  <w:num w:numId="36" w16cid:durableId="1854147754">
    <w:abstractNumId w:val="18"/>
  </w:num>
  <w:num w:numId="37" w16cid:durableId="856120006">
    <w:abstractNumId w:val="34"/>
  </w:num>
  <w:num w:numId="38" w16cid:durableId="1805611997">
    <w:abstractNumId w:val="23"/>
  </w:num>
  <w:num w:numId="39" w16cid:durableId="1591692097">
    <w:abstractNumId w:val="4"/>
  </w:num>
  <w:num w:numId="40" w16cid:durableId="841970076">
    <w:abstractNumId w:val="19"/>
  </w:num>
  <w:num w:numId="41" w16cid:durableId="918707844">
    <w:abstractNumId w:val="14"/>
  </w:num>
  <w:num w:numId="42" w16cid:durableId="108361461">
    <w:abstractNumId w:val="31"/>
  </w:num>
  <w:num w:numId="43" w16cid:durableId="948003204">
    <w:abstractNumId w:val="25"/>
  </w:num>
  <w:num w:numId="44" w16cid:durableId="38747632">
    <w:abstractNumId w:val="28"/>
  </w:num>
  <w:num w:numId="45" w16cid:durableId="496653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3"/>
    <w:rsid w:val="000035DD"/>
    <w:rsid w:val="0001505C"/>
    <w:rsid w:val="000170A9"/>
    <w:rsid w:val="00037E9F"/>
    <w:rsid w:val="00054CE3"/>
    <w:rsid w:val="00072B22"/>
    <w:rsid w:val="00081FD5"/>
    <w:rsid w:val="00093D34"/>
    <w:rsid w:val="000B2663"/>
    <w:rsid w:val="000B6770"/>
    <w:rsid w:val="000D6781"/>
    <w:rsid w:val="000D6C67"/>
    <w:rsid w:val="000F0AA8"/>
    <w:rsid w:val="000F13B5"/>
    <w:rsid w:val="000F5957"/>
    <w:rsid w:val="0011009A"/>
    <w:rsid w:val="00121F26"/>
    <w:rsid w:val="00134878"/>
    <w:rsid w:val="001533D0"/>
    <w:rsid w:val="00202F93"/>
    <w:rsid w:val="00217997"/>
    <w:rsid w:val="0022498A"/>
    <w:rsid w:val="00237261"/>
    <w:rsid w:val="002438E8"/>
    <w:rsid w:val="00253AF3"/>
    <w:rsid w:val="0026001A"/>
    <w:rsid w:val="00264D38"/>
    <w:rsid w:val="00296ED9"/>
    <w:rsid w:val="002A0318"/>
    <w:rsid w:val="002A4E98"/>
    <w:rsid w:val="002C16F2"/>
    <w:rsid w:val="002E75B7"/>
    <w:rsid w:val="00316054"/>
    <w:rsid w:val="003215C4"/>
    <w:rsid w:val="00327DF7"/>
    <w:rsid w:val="0034120C"/>
    <w:rsid w:val="00350CBA"/>
    <w:rsid w:val="0035349A"/>
    <w:rsid w:val="00364BE6"/>
    <w:rsid w:val="00370D0E"/>
    <w:rsid w:val="003946C4"/>
    <w:rsid w:val="00395948"/>
    <w:rsid w:val="003A2868"/>
    <w:rsid w:val="003A308F"/>
    <w:rsid w:val="003C66C8"/>
    <w:rsid w:val="00420092"/>
    <w:rsid w:val="00423E95"/>
    <w:rsid w:val="004B6505"/>
    <w:rsid w:val="004D307E"/>
    <w:rsid w:val="004D4CCC"/>
    <w:rsid w:val="004E6812"/>
    <w:rsid w:val="00511376"/>
    <w:rsid w:val="00514355"/>
    <w:rsid w:val="0051545E"/>
    <w:rsid w:val="00535C0F"/>
    <w:rsid w:val="0054089E"/>
    <w:rsid w:val="00541AA7"/>
    <w:rsid w:val="00562113"/>
    <w:rsid w:val="00571843"/>
    <w:rsid w:val="005762BA"/>
    <w:rsid w:val="005827F4"/>
    <w:rsid w:val="005929D7"/>
    <w:rsid w:val="0059386E"/>
    <w:rsid w:val="005B4637"/>
    <w:rsid w:val="005C380E"/>
    <w:rsid w:val="005C6632"/>
    <w:rsid w:val="005D38CB"/>
    <w:rsid w:val="00617FFA"/>
    <w:rsid w:val="00623E24"/>
    <w:rsid w:val="00632D5C"/>
    <w:rsid w:val="0064300E"/>
    <w:rsid w:val="00647A8A"/>
    <w:rsid w:val="006615A1"/>
    <w:rsid w:val="0066219D"/>
    <w:rsid w:val="00662A17"/>
    <w:rsid w:val="00695ACD"/>
    <w:rsid w:val="006C65DE"/>
    <w:rsid w:val="006C726F"/>
    <w:rsid w:val="006D1478"/>
    <w:rsid w:val="006D1D72"/>
    <w:rsid w:val="006D371C"/>
    <w:rsid w:val="006E1A26"/>
    <w:rsid w:val="006E69CF"/>
    <w:rsid w:val="007031B4"/>
    <w:rsid w:val="00707291"/>
    <w:rsid w:val="00750208"/>
    <w:rsid w:val="00757B98"/>
    <w:rsid w:val="00781E22"/>
    <w:rsid w:val="00782DCE"/>
    <w:rsid w:val="00797186"/>
    <w:rsid w:val="007B59D4"/>
    <w:rsid w:val="007C06FC"/>
    <w:rsid w:val="007C125F"/>
    <w:rsid w:val="007C7A9A"/>
    <w:rsid w:val="007D09DA"/>
    <w:rsid w:val="007F514A"/>
    <w:rsid w:val="007F786B"/>
    <w:rsid w:val="00815A36"/>
    <w:rsid w:val="00851253"/>
    <w:rsid w:val="0087679F"/>
    <w:rsid w:val="0089182E"/>
    <w:rsid w:val="00895624"/>
    <w:rsid w:val="008C2DBE"/>
    <w:rsid w:val="008E47B8"/>
    <w:rsid w:val="008E5A65"/>
    <w:rsid w:val="008F1D77"/>
    <w:rsid w:val="009208C6"/>
    <w:rsid w:val="00932133"/>
    <w:rsid w:val="0094029D"/>
    <w:rsid w:val="00952513"/>
    <w:rsid w:val="00952CB3"/>
    <w:rsid w:val="00966EAE"/>
    <w:rsid w:val="00985A5D"/>
    <w:rsid w:val="00995FEC"/>
    <w:rsid w:val="009A44D3"/>
    <w:rsid w:val="009C7D7E"/>
    <w:rsid w:val="009E3CEF"/>
    <w:rsid w:val="00A0119B"/>
    <w:rsid w:val="00A07411"/>
    <w:rsid w:val="00A275B7"/>
    <w:rsid w:val="00A37F2D"/>
    <w:rsid w:val="00A567F4"/>
    <w:rsid w:val="00A6093F"/>
    <w:rsid w:val="00A7337F"/>
    <w:rsid w:val="00A86222"/>
    <w:rsid w:val="00A94110"/>
    <w:rsid w:val="00AC1CA2"/>
    <w:rsid w:val="00AD5278"/>
    <w:rsid w:val="00AE346F"/>
    <w:rsid w:val="00B0553F"/>
    <w:rsid w:val="00B05868"/>
    <w:rsid w:val="00B21A7F"/>
    <w:rsid w:val="00B55F5F"/>
    <w:rsid w:val="00B608CF"/>
    <w:rsid w:val="00B678B4"/>
    <w:rsid w:val="00B764F1"/>
    <w:rsid w:val="00BA750E"/>
    <w:rsid w:val="00BB19F5"/>
    <w:rsid w:val="00BB6BB5"/>
    <w:rsid w:val="00BC599E"/>
    <w:rsid w:val="00BC5EF9"/>
    <w:rsid w:val="00BF20DD"/>
    <w:rsid w:val="00BF6516"/>
    <w:rsid w:val="00C01A68"/>
    <w:rsid w:val="00C20F71"/>
    <w:rsid w:val="00C609A4"/>
    <w:rsid w:val="00C71ACF"/>
    <w:rsid w:val="00C84999"/>
    <w:rsid w:val="00CA2B40"/>
    <w:rsid w:val="00CA779D"/>
    <w:rsid w:val="00CC4729"/>
    <w:rsid w:val="00CE4AF8"/>
    <w:rsid w:val="00D1344E"/>
    <w:rsid w:val="00D31608"/>
    <w:rsid w:val="00D31C65"/>
    <w:rsid w:val="00D52196"/>
    <w:rsid w:val="00D603E0"/>
    <w:rsid w:val="00DC1A12"/>
    <w:rsid w:val="00DC5BAB"/>
    <w:rsid w:val="00DC5F9E"/>
    <w:rsid w:val="00DC7062"/>
    <w:rsid w:val="00DD061A"/>
    <w:rsid w:val="00DD776C"/>
    <w:rsid w:val="00E22C0F"/>
    <w:rsid w:val="00E3425A"/>
    <w:rsid w:val="00E451FF"/>
    <w:rsid w:val="00E56898"/>
    <w:rsid w:val="00E571C2"/>
    <w:rsid w:val="00E67013"/>
    <w:rsid w:val="00E72371"/>
    <w:rsid w:val="00E8313B"/>
    <w:rsid w:val="00E8419F"/>
    <w:rsid w:val="00EB37C2"/>
    <w:rsid w:val="00EC6AF8"/>
    <w:rsid w:val="00EF6A6C"/>
    <w:rsid w:val="00F00A0E"/>
    <w:rsid w:val="00F02E10"/>
    <w:rsid w:val="00F16FC0"/>
    <w:rsid w:val="00F57B1F"/>
    <w:rsid w:val="00F624F6"/>
    <w:rsid w:val="00F639EF"/>
    <w:rsid w:val="00F71A02"/>
    <w:rsid w:val="00F87888"/>
    <w:rsid w:val="00FD206C"/>
    <w:rsid w:val="00FD67CC"/>
    <w:rsid w:val="00FD74BD"/>
    <w:rsid w:val="00FF6DF2"/>
    <w:rsid w:val="02124176"/>
    <w:rsid w:val="05F24190"/>
    <w:rsid w:val="065EBD80"/>
    <w:rsid w:val="0BA1E4D6"/>
    <w:rsid w:val="0EC6F93A"/>
    <w:rsid w:val="0F19186E"/>
    <w:rsid w:val="0F662FF3"/>
    <w:rsid w:val="10FF49FF"/>
    <w:rsid w:val="1110D36F"/>
    <w:rsid w:val="1170F9E2"/>
    <w:rsid w:val="11CBB6CF"/>
    <w:rsid w:val="12E6DC39"/>
    <w:rsid w:val="1806499F"/>
    <w:rsid w:val="1843762E"/>
    <w:rsid w:val="18AA596A"/>
    <w:rsid w:val="1AAD7BD9"/>
    <w:rsid w:val="20A70203"/>
    <w:rsid w:val="254C0D3F"/>
    <w:rsid w:val="26CEDD08"/>
    <w:rsid w:val="2A5ACAC8"/>
    <w:rsid w:val="2DE5B732"/>
    <w:rsid w:val="2E03CF8A"/>
    <w:rsid w:val="316A28D8"/>
    <w:rsid w:val="31FDA3F7"/>
    <w:rsid w:val="32EDF62D"/>
    <w:rsid w:val="35283E35"/>
    <w:rsid w:val="35E92720"/>
    <w:rsid w:val="3613047E"/>
    <w:rsid w:val="363600BB"/>
    <w:rsid w:val="3723B9B5"/>
    <w:rsid w:val="3839C6C1"/>
    <w:rsid w:val="38A799D8"/>
    <w:rsid w:val="3E1DE75D"/>
    <w:rsid w:val="3E5BE47A"/>
    <w:rsid w:val="3EC02287"/>
    <w:rsid w:val="3EC27DCF"/>
    <w:rsid w:val="414EED77"/>
    <w:rsid w:val="419F7D77"/>
    <w:rsid w:val="41EB033C"/>
    <w:rsid w:val="42B86722"/>
    <w:rsid w:val="42D249F1"/>
    <w:rsid w:val="43B5F452"/>
    <w:rsid w:val="4DE65792"/>
    <w:rsid w:val="4EE32A85"/>
    <w:rsid w:val="4F5FD4BB"/>
    <w:rsid w:val="506BC883"/>
    <w:rsid w:val="5160D0DF"/>
    <w:rsid w:val="517F805E"/>
    <w:rsid w:val="57E87EA9"/>
    <w:rsid w:val="59258795"/>
    <w:rsid w:val="5A492550"/>
    <w:rsid w:val="5BDA90C4"/>
    <w:rsid w:val="5F9EE1B4"/>
    <w:rsid w:val="5FF88B3E"/>
    <w:rsid w:val="608E09E8"/>
    <w:rsid w:val="648D6ECF"/>
    <w:rsid w:val="67AFED22"/>
    <w:rsid w:val="680F459F"/>
    <w:rsid w:val="6958D4DE"/>
    <w:rsid w:val="69D5DAB5"/>
    <w:rsid w:val="6B6BE836"/>
    <w:rsid w:val="6DA00188"/>
    <w:rsid w:val="7195ADB6"/>
    <w:rsid w:val="741731AB"/>
    <w:rsid w:val="745D16E5"/>
    <w:rsid w:val="755B85EA"/>
    <w:rsid w:val="7ADA72BE"/>
    <w:rsid w:val="7D59A031"/>
    <w:rsid w:val="7DBF54CD"/>
    <w:rsid w:val="7E8D1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0105"/>
  <w15:chartTrackingRefBased/>
  <w15:docId w15:val="{C9421DB1-5698-467B-BBF4-DD073F57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4D3"/>
    <w:pPr>
      <w:suppressAutoHyphens/>
      <w:jc w:val="both"/>
    </w:pPr>
    <w:rPr>
      <w:rFonts w:eastAsia="Times New Roman" w:cs="Times New Roman"/>
      <w:kern w:val="0"/>
      <w:sz w:val="24"/>
      <w:szCs w:val="20"/>
      <w14:ligatures w14:val="none"/>
    </w:rPr>
  </w:style>
  <w:style w:type="paragraph" w:styleId="Heading1">
    <w:name w:val="heading 1"/>
    <w:basedOn w:val="ListParagraph"/>
    <w:next w:val="Normal"/>
    <w:link w:val="Heading1Char"/>
    <w:uiPriority w:val="9"/>
    <w:qFormat/>
    <w:rsid w:val="002C16F2"/>
    <w:pPr>
      <w:spacing w:after="0" w:line="240" w:lineRule="auto"/>
      <w:ind w:left="567" w:hanging="567"/>
      <w:outlineLvl w:val="0"/>
    </w:pPr>
    <w:rPr>
      <w:rFonts w:ascii="Calibri" w:hAnsi="Calibri" w:cs="Calibri"/>
      <w:b/>
      <w:bCs/>
      <w:color w:val="4472C4" w:themeColor="accent1"/>
      <w:kern w:val="2"/>
      <w:sz w:val="24"/>
      <w:szCs w:val="24"/>
      <w14:ligatures w14:val="standardContextual"/>
    </w:rPr>
  </w:style>
  <w:style w:type="paragraph" w:styleId="Heading2">
    <w:name w:val="heading 2"/>
    <w:basedOn w:val="Normal"/>
    <w:next w:val="Normal"/>
    <w:link w:val="Heading2Char"/>
    <w:uiPriority w:val="9"/>
    <w:unhideWhenUsed/>
    <w:qFormat/>
    <w:rsid w:val="002372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2C16F2"/>
    <w:pPr>
      <w:tabs>
        <w:tab w:val="left" w:pos="567"/>
      </w:tabs>
      <w:spacing w:after="0" w:line="240" w:lineRule="auto"/>
      <w:ind w:hanging="720"/>
      <w:outlineLvl w:val="2"/>
    </w:pPr>
    <w:rPr>
      <w:rFonts w:ascii="Calibri" w:hAnsi="Calibri" w:cs="Calibri"/>
      <w:b/>
      <w:bCs/>
      <w:i/>
      <w:i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4D3"/>
    <w:pPr>
      <w:suppressAutoHyphens/>
      <w:jc w:val="both"/>
    </w:pPr>
    <w:rPr>
      <w:rFonts w:eastAsia="Times New Roman"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4D3"/>
    <w:pPr>
      <w:suppressAutoHyphens w:val="0"/>
      <w:spacing w:after="160" w:line="259" w:lineRule="auto"/>
      <w:ind w:left="720"/>
      <w:contextualSpacing/>
      <w:jc w:val="left"/>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9A44D3"/>
    <w:pPr>
      <w:suppressAutoHyphens w:val="0"/>
      <w:jc w:val="left"/>
    </w:pPr>
    <w:rPr>
      <w:rFonts w:eastAsiaTheme="minorHAnsi" w:cs="Arial"/>
      <w:szCs w:val="24"/>
    </w:rPr>
  </w:style>
  <w:style w:type="character" w:customStyle="1" w:styleId="PlainTextChar">
    <w:name w:val="Plain Text Char"/>
    <w:basedOn w:val="DefaultParagraphFont"/>
    <w:link w:val="PlainText"/>
    <w:uiPriority w:val="99"/>
    <w:rsid w:val="009A44D3"/>
    <w:rPr>
      <w:kern w:val="0"/>
      <w:sz w:val="24"/>
      <w:szCs w:val="24"/>
      <w14:ligatures w14:val="none"/>
    </w:rPr>
  </w:style>
  <w:style w:type="character" w:styleId="Hyperlink">
    <w:name w:val="Hyperlink"/>
    <w:basedOn w:val="DefaultParagraphFont"/>
    <w:uiPriority w:val="99"/>
    <w:unhideWhenUsed/>
    <w:rsid w:val="009A44D3"/>
    <w:rPr>
      <w:color w:val="0563C1"/>
      <w:u w:val="single"/>
    </w:rPr>
  </w:style>
  <w:style w:type="paragraph" w:styleId="BodyText">
    <w:name w:val="Body Text"/>
    <w:basedOn w:val="Normal"/>
    <w:link w:val="BodyTextChar"/>
    <w:unhideWhenUsed/>
    <w:rsid w:val="009A44D3"/>
    <w:pPr>
      <w:spacing w:after="120"/>
    </w:pPr>
  </w:style>
  <w:style w:type="character" w:customStyle="1" w:styleId="BodyTextChar">
    <w:name w:val="Body Text Char"/>
    <w:basedOn w:val="DefaultParagraphFont"/>
    <w:link w:val="BodyText"/>
    <w:rsid w:val="009A44D3"/>
    <w:rPr>
      <w:rFonts w:eastAsia="Times New Roman" w:cs="Times New Roman"/>
      <w:kern w:val="0"/>
      <w:sz w:val="24"/>
      <w:szCs w:val="20"/>
      <w14:ligatures w14:val="none"/>
    </w:rPr>
  </w:style>
  <w:style w:type="paragraph" w:styleId="Header">
    <w:name w:val="header"/>
    <w:basedOn w:val="Normal"/>
    <w:link w:val="HeaderChar"/>
    <w:uiPriority w:val="99"/>
    <w:unhideWhenUsed/>
    <w:rsid w:val="009A44D3"/>
    <w:pPr>
      <w:tabs>
        <w:tab w:val="center" w:pos="4513"/>
        <w:tab w:val="right" w:pos="9026"/>
      </w:tabs>
    </w:pPr>
  </w:style>
  <w:style w:type="character" w:customStyle="1" w:styleId="HeaderChar">
    <w:name w:val="Header Char"/>
    <w:basedOn w:val="DefaultParagraphFont"/>
    <w:link w:val="Header"/>
    <w:uiPriority w:val="99"/>
    <w:rsid w:val="009A44D3"/>
    <w:rPr>
      <w:rFonts w:eastAsia="Times New Roman" w:cs="Times New Roman"/>
      <w:kern w:val="0"/>
      <w:sz w:val="24"/>
      <w:szCs w:val="20"/>
      <w14:ligatures w14:val="none"/>
    </w:rPr>
  </w:style>
  <w:style w:type="paragraph" w:styleId="Footer">
    <w:name w:val="footer"/>
    <w:basedOn w:val="Normal"/>
    <w:link w:val="FooterChar"/>
    <w:uiPriority w:val="99"/>
    <w:unhideWhenUsed/>
    <w:rsid w:val="009A44D3"/>
    <w:pPr>
      <w:tabs>
        <w:tab w:val="center" w:pos="4513"/>
        <w:tab w:val="right" w:pos="9026"/>
      </w:tabs>
    </w:pPr>
  </w:style>
  <w:style w:type="character" w:customStyle="1" w:styleId="FooterChar">
    <w:name w:val="Footer Char"/>
    <w:basedOn w:val="DefaultParagraphFont"/>
    <w:link w:val="Footer"/>
    <w:uiPriority w:val="99"/>
    <w:rsid w:val="009A44D3"/>
    <w:rPr>
      <w:rFonts w:eastAsia="Times New Roman" w:cs="Times New Roman"/>
      <w:kern w:val="0"/>
      <w:sz w:val="24"/>
      <w:szCs w:val="20"/>
      <w14:ligatures w14:val="none"/>
    </w:rPr>
  </w:style>
  <w:style w:type="character" w:customStyle="1" w:styleId="normaltextrun">
    <w:name w:val="normaltextrun"/>
    <w:basedOn w:val="DefaultParagraphFont"/>
    <w:rsid w:val="009A44D3"/>
  </w:style>
  <w:style w:type="character" w:customStyle="1" w:styleId="ui-provider">
    <w:name w:val="ui-provider"/>
    <w:basedOn w:val="DefaultParagraphFont"/>
    <w:rsid w:val="009A44D3"/>
  </w:style>
  <w:style w:type="paragraph" w:styleId="NormalWeb">
    <w:name w:val="Normal (Web)"/>
    <w:basedOn w:val="Normal"/>
    <w:uiPriority w:val="99"/>
    <w:semiHidden/>
    <w:unhideWhenUsed/>
    <w:rsid w:val="009A44D3"/>
    <w:pPr>
      <w:suppressAutoHyphens w:val="0"/>
      <w:spacing w:before="100" w:beforeAutospacing="1" w:after="100" w:afterAutospacing="1"/>
      <w:jc w:val="left"/>
    </w:pPr>
    <w:rPr>
      <w:rFonts w:ascii="Times New Roman" w:hAnsi="Times New Roman"/>
      <w:szCs w:val="24"/>
      <w:lang w:eastAsia="en-GB"/>
    </w:rPr>
  </w:style>
  <w:style w:type="character" w:styleId="CommentReference">
    <w:name w:val="annotation reference"/>
    <w:basedOn w:val="DefaultParagraphFont"/>
    <w:uiPriority w:val="99"/>
    <w:semiHidden/>
    <w:unhideWhenUsed/>
    <w:rsid w:val="004B6505"/>
    <w:rPr>
      <w:sz w:val="16"/>
      <w:szCs w:val="16"/>
    </w:rPr>
  </w:style>
  <w:style w:type="paragraph" w:styleId="CommentText">
    <w:name w:val="annotation text"/>
    <w:basedOn w:val="Normal"/>
    <w:link w:val="CommentTextChar"/>
    <w:uiPriority w:val="99"/>
    <w:unhideWhenUsed/>
    <w:rsid w:val="004B6505"/>
    <w:rPr>
      <w:sz w:val="20"/>
    </w:rPr>
  </w:style>
  <w:style w:type="character" w:customStyle="1" w:styleId="CommentTextChar">
    <w:name w:val="Comment Text Char"/>
    <w:basedOn w:val="DefaultParagraphFont"/>
    <w:link w:val="CommentText"/>
    <w:uiPriority w:val="99"/>
    <w:rsid w:val="004B650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505"/>
    <w:rPr>
      <w:b/>
      <w:bCs/>
    </w:rPr>
  </w:style>
  <w:style w:type="character" w:customStyle="1" w:styleId="CommentSubjectChar">
    <w:name w:val="Comment Subject Char"/>
    <w:basedOn w:val="CommentTextChar"/>
    <w:link w:val="CommentSubject"/>
    <w:uiPriority w:val="99"/>
    <w:semiHidden/>
    <w:rsid w:val="004B6505"/>
    <w:rPr>
      <w:rFonts w:eastAsia="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327DF7"/>
    <w:rPr>
      <w:color w:val="605E5C"/>
      <w:shd w:val="clear" w:color="auto" w:fill="E1DFDD"/>
    </w:rPr>
  </w:style>
  <w:style w:type="paragraph" w:styleId="FootnoteText">
    <w:name w:val="footnote text"/>
    <w:basedOn w:val="Normal"/>
    <w:link w:val="FootnoteTextChar"/>
    <w:uiPriority w:val="99"/>
    <w:semiHidden/>
    <w:unhideWhenUsed/>
    <w:rsid w:val="006D371C"/>
    <w:rPr>
      <w:sz w:val="20"/>
    </w:rPr>
  </w:style>
  <w:style w:type="character" w:customStyle="1" w:styleId="FootnoteTextChar">
    <w:name w:val="Footnote Text Char"/>
    <w:basedOn w:val="DefaultParagraphFont"/>
    <w:link w:val="FootnoteText"/>
    <w:uiPriority w:val="99"/>
    <w:semiHidden/>
    <w:rsid w:val="006D371C"/>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6D371C"/>
    <w:rPr>
      <w:vertAlign w:val="superscript"/>
    </w:rPr>
  </w:style>
  <w:style w:type="character" w:customStyle="1" w:styleId="Heading2Char">
    <w:name w:val="Heading 2 Char"/>
    <w:basedOn w:val="DefaultParagraphFont"/>
    <w:link w:val="Heading2"/>
    <w:uiPriority w:val="9"/>
    <w:rsid w:val="00237261"/>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081FD5"/>
    <w:rPr>
      <w:color w:val="954F72" w:themeColor="followedHyperlink"/>
      <w:u w:val="single"/>
    </w:rPr>
  </w:style>
  <w:style w:type="character" w:customStyle="1" w:styleId="dynamic">
    <w:name w:val="dynamic"/>
    <w:basedOn w:val="DefaultParagraphFont"/>
    <w:rsid w:val="00081FD5"/>
  </w:style>
  <w:style w:type="character" w:styleId="Strong">
    <w:name w:val="Strong"/>
    <w:basedOn w:val="DefaultParagraphFont"/>
    <w:uiPriority w:val="22"/>
    <w:qFormat/>
    <w:rsid w:val="00081FD5"/>
    <w:rPr>
      <w:b/>
      <w:bCs/>
    </w:rPr>
  </w:style>
  <w:style w:type="character" w:customStyle="1" w:styleId="Heading1Char">
    <w:name w:val="Heading 1 Char"/>
    <w:basedOn w:val="DefaultParagraphFont"/>
    <w:link w:val="Heading1"/>
    <w:uiPriority w:val="9"/>
    <w:rsid w:val="002C16F2"/>
    <w:rPr>
      <w:rFonts w:ascii="Calibri" w:hAnsi="Calibri" w:cs="Calibri"/>
      <w:b/>
      <w:bCs/>
      <w:color w:val="4472C4" w:themeColor="accent1"/>
      <w:sz w:val="24"/>
      <w:szCs w:val="24"/>
    </w:rPr>
  </w:style>
  <w:style w:type="character" w:customStyle="1" w:styleId="Heading3Char">
    <w:name w:val="Heading 3 Char"/>
    <w:basedOn w:val="DefaultParagraphFont"/>
    <w:link w:val="Heading3"/>
    <w:uiPriority w:val="9"/>
    <w:rsid w:val="002C16F2"/>
    <w:rPr>
      <w:rFonts w:ascii="Calibri" w:hAnsi="Calibri" w:cs="Calibri"/>
      <w:b/>
      <w:bCs/>
      <w:i/>
      <w:iCs/>
      <w:sz w:val="24"/>
      <w:szCs w:val="24"/>
    </w:rPr>
  </w:style>
  <w:style w:type="table" w:customStyle="1" w:styleId="TableGrid1">
    <w:name w:val="Table Grid1"/>
    <w:basedOn w:val="TableNormal"/>
    <w:next w:val="TableGrid"/>
    <w:rsid w:val="00072B22"/>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0092"/>
    <w:pPr>
      <w:suppressAutoHyphens w:val="0"/>
      <w:spacing w:before="100" w:beforeAutospacing="1" w:after="100" w:afterAutospacing="1"/>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402">
      <w:bodyDiv w:val="1"/>
      <w:marLeft w:val="0"/>
      <w:marRight w:val="0"/>
      <w:marTop w:val="0"/>
      <w:marBottom w:val="0"/>
      <w:divBdr>
        <w:top w:val="none" w:sz="0" w:space="0" w:color="auto"/>
        <w:left w:val="none" w:sz="0" w:space="0" w:color="auto"/>
        <w:bottom w:val="none" w:sz="0" w:space="0" w:color="auto"/>
        <w:right w:val="none" w:sz="0" w:space="0" w:color="auto"/>
      </w:divBdr>
      <w:divsChild>
        <w:div w:id="165972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0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6443">
      <w:bodyDiv w:val="1"/>
      <w:marLeft w:val="0"/>
      <w:marRight w:val="0"/>
      <w:marTop w:val="0"/>
      <w:marBottom w:val="0"/>
      <w:divBdr>
        <w:top w:val="none" w:sz="0" w:space="0" w:color="auto"/>
        <w:left w:val="none" w:sz="0" w:space="0" w:color="auto"/>
        <w:bottom w:val="none" w:sz="0" w:space="0" w:color="auto"/>
        <w:right w:val="none" w:sz="0" w:space="0" w:color="auto"/>
      </w:divBdr>
    </w:div>
    <w:div w:id="142089873">
      <w:bodyDiv w:val="1"/>
      <w:marLeft w:val="0"/>
      <w:marRight w:val="0"/>
      <w:marTop w:val="0"/>
      <w:marBottom w:val="0"/>
      <w:divBdr>
        <w:top w:val="none" w:sz="0" w:space="0" w:color="auto"/>
        <w:left w:val="none" w:sz="0" w:space="0" w:color="auto"/>
        <w:bottom w:val="none" w:sz="0" w:space="0" w:color="auto"/>
        <w:right w:val="none" w:sz="0" w:space="0" w:color="auto"/>
      </w:divBdr>
      <w:divsChild>
        <w:div w:id="1570842393">
          <w:marLeft w:val="0"/>
          <w:marRight w:val="0"/>
          <w:marTop w:val="0"/>
          <w:marBottom w:val="0"/>
          <w:divBdr>
            <w:top w:val="none" w:sz="0" w:space="0" w:color="auto"/>
            <w:left w:val="none" w:sz="0" w:space="0" w:color="auto"/>
            <w:bottom w:val="none" w:sz="0" w:space="0" w:color="auto"/>
            <w:right w:val="none" w:sz="0" w:space="0" w:color="auto"/>
          </w:divBdr>
          <w:divsChild>
            <w:div w:id="1741556155">
              <w:marLeft w:val="0"/>
              <w:marRight w:val="0"/>
              <w:marTop w:val="0"/>
              <w:marBottom w:val="0"/>
              <w:divBdr>
                <w:top w:val="none" w:sz="0" w:space="0" w:color="auto"/>
                <w:left w:val="none" w:sz="0" w:space="0" w:color="auto"/>
                <w:bottom w:val="none" w:sz="0" w:space="0" w:color="auto"/>
                <w:right w:val="none" w:sz="0" w:space="0" w:color="auto"/>
              </w:divBdr>
              <w:divsChild>
                <w:div w:id="1401947462">
                  <w:marLeft w:val="0"/>
                  <w:marRight w:val="0"/>
                  <w:marTop w:val="0"/>
                  <w:marBottom w:val="0"/>
                  <w:divBdr>
                    <w:top w:val="none" w:sz="0" w:space="0" w:color="auto"/>
                    <w:left w:val="none" w:sz="0" w:space="0" w:color="auto"/>
                    <w:bottom w:val="none" w:sz="0" w:space="0" w:color="auto"/>
                    <w:right w:val="none" w:sz="0" w:space="0" w:color="auto"/>
                  </w:divBdr>
                  <w:divsChild>
                    <w:div w:id="7790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17677">
      <w:bodyDiv w:val="1"/>
      <w:marLeft w:val="0"/>
      <w:marRight w:val="0"/>
      <w:marTop w:val="0"/>
      <w:marBottom w:val="0"/>
      <w:divBdr>
        <w:top w:val="none" w:sz="0" w:space="0" w:color="auto"/>
        <w:left w:val="none" w:sz="0" w:space="0" w:color="auto"/>
        <w:bottom w:val="none" w:sz="0" w:space="0" w:color="auto"/>
        <w:right w:val="none" w:sz="0" w:space="0" w:color="auto"/>
      </w:divBdr>
    </w:div>
    <w:div w:id="491407425">
      <w:bodyDiv w:val="1"/>
      <w:marLeft w:val="0"/>
      <w:marRight w:val="0"/>
      <w:marTop w:val="0"/>
      <w:marBottom w:val="0"/>
      <w:divBdr>
        <w:top w:val="none" w:sz="0" w:space="0" w:color="auto"/>
        <w:left w:val="none" w:sz="0" w:space="0" w:color="auto"/>
        <w:bottom w:val="none" w:sz="0" w:space="0" w:color="auto"/>
        <w:right w:val="none" w:sz="0" w:space="0" w:color="auto"/>
      </w:divBdr>
    </w:div>
    <w:div w:id="1001858892">
      <w:bodyDiv w:val="1"/>
      <w:marLeft w:val="0"/>
      <w:marRight w:val="0"/>
      <w:marTop w:val="0"/>
      <w:marBottom w:val="0"/>
      <w:divBdr>
        <w:top w:val="none" w:sz="0" w:space="0" w:color="auto"/>
        <w:left w:val="none" w:sz="0" w:space="0" w:color="auto"/>
        <w:bottom w:val="none" w:sz="0" w:space="0" w:color="auto"/>
        <w:right w:val="none" w:sz="0" w:space="0" w:color="auto"/>
      </w:divBdr>
    </w:div>
    <w:div w:id="1253048397">
      <w:bodyDiv w:val="1"/>
      <w:marLeft w:val="0"/>
      <w:marRight w:val="0"/>
      <w:marTop w:val="0"/>
      <w:marBottom w:val="0"/>
      <w:divBdr>
        <w:top w:val="none" w:sz="0" w:space="0" w:color="auto"/>
        <w:left w:val="none" w:sz="0" w:space="0" w:color="auto"/>
        <w:bottom w:val="none" w:sz="0" w:space="0" w:color="auto"/>
        <w:right w:val="none" w:sz="0" w:space="0" w:color="auto"/>
      </w:divBdr>
    </w:div>
    <w:div w:id="1386299277">
      <w:bodyDiv w:val="1"/>
      <w:marLeft w:val="0"/>
      <w:marRight w:val="0"/>
      <w:marTop w:val="0"/>
      <w:marBottom w:val="0"/>
      <w:divBdr>
        <w:top w:val="none" w:sz="0" w:space="0" w:color="auto"/>
        <w:left w:val="none" w:sz="0" w:space="0" w:color="auto"/>
        <w:bottom w:val="none" w:sz="0" w:space="0" w:color="auto"/>
        <w:right w:val="none" w:sz="0" w:space="0" w:color="auto"/>
      </w:divBdr>
    </w:div>
    <w:div w:id="146762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ks.nice.org.uk/topics/contraception-assessment/background-information/comparative-effectiveness-of-contraceptive-methods/" TargetMode="External"/><Relationship Id="rId18" Type="http://schemas.openxmlformats.org/officeDocument/2006/relationships/hyperlink" Target="https://bnssg.icb.nhs.uk/health-and-care/health-advice-and-support/safeguarding-information/" TargetMode="External"/><Relationship Id="rId26" Type="http://schemas.openxmlformats.org/officeDocument/2006/relationships/hyperlink" Target="https://cks.nice.org.uk/topics/pre-conception-advice-management/" TargetMode="External"/><Relationship Id="rId39" Type="http://schemas.openxmlformats.org/officeDocument/2006/relationships/hyperlink" Target="https://yunosexualhealth.co.uk/professional-zone" TargetMode="External"/><Relationship Id="rId21" Type="http://schemas.openxmlformats.org/officeDocument/2006/relationships/hyperlink" Target="https://www.fsrh.org/Common/Uploaded%20files/documents/fsrh-clinical-guideline-intrauterine-contraception-mar-23-amended.pdf" TargetMode="External"/><Relationship Id="rId34" Type="http://schemas.openxmlformats.org/officeDocument/2006/relationships/hyperlink" Target="https://teamnet.clarity.co.uk/Library/Public/7eff09f7-1d9b-4d2a-8c2c-b274009c3280" TargetMode="External"/><Relationship Id="rId42" Type="http://schemas.openxmlformats.org/officeDocument/2006/relationships/hyperlink" Target="https://bnssg.icb.nhs.uk/health-and-care/health-advice-and-support/safeguarding-information/" TargetMode="External"/><Relationship Id="rId47" Type="http://schemas.openxmlformats.org/officeDocument/2006/relationships/hyperlink" Target="https://www.bashh.org/_userfiles/pages/files/resources/ct2015.pdf" TargetMode="External"/><Relationship Id="rId50" Type="http://schemas.openxmlformats.org/officeDocument/2006/relationships/hyperlink" Target="https://cks.nice.org.uk/topics/chlamydia-uncomplicated-genital/management/management/"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ks.nice.org.uk/topics/pre-conception-advice-management/" TargetMode="External"/><Relationship Id="rId20" Type="http://schemas.openxmlformats.org/officeDocument/2006/relationships/hyperlink" Target="https://www.gov.uk/government/publications/establishing-youth-friendly-health-and-care-services" TargetMode="External"/><Relationship Id="rId29" Type="http://schemas.openxmlformats.org/officeDocument/2006/relationships/hyperlink" Target="https://remedy.bnssg.icb.nhs.uk/formulary-adult/patient-group-directions/healthcare-professionals-working-in-primary-care-pgds/" TargetMode="External"/><Relationship Id="rId41" Type="http://schemas.openxmlformats.org/officeDocument/2006/relationships/hyperlink" Target="https://learning.nspcc.org.uk/child-protection-system/gillick-competence-fraser-guidelin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unosexualhealth.co.uk" TargetMode="External"/><Relationship Id="rId24" Type="http://schemas.openxmlformats.org/officeDocument/2006/relationships/hyperlink" Target="https://www.nice.org.uk/Guidance/CG30" TargetMode="External"/><Relationship Id="rId32" Type="http://schemas.openxmlformats.org/officeDocument/2006/relationships/hyperlink" Target="https://www.fsrh.org/Public/Public/Education-and-Training/letter-of-competence-intrauterine-techniques-loc-iut.aspx" TargetMode="External"/><Relationship Id="rId37" Type="http://schemas.openxmlformats.org/officeDocument/2006/relationships/hyperlink" Target="mailto:orders@sh24.org.uk" TargetMode="External"/><Relationship Id="rId40" Type="http://schemas.openxmlformats.org/officeDocument/2006/relationships/hyperlink" Target="https://remedy.bnssg.icb.nhs.uk/adults/sexual-health/gonorrhoea/" TargetMode="External"/><Relationship Id="rId45" Type="http://schemas.openxmlformats.org/officeDocument/2006/relationships/hyperlink" Target="https://www.nice.org.uk/guidance/ng221" TargetMode="External"/><Relationship Id="rId53" Type="http://schemas.openxmlformats.org/officeDocument/2006/relationships/hyperlink" Target="https://nhs-icb.bisongrid.dev/for-clinicians/"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remedy.bnssg.icb.nhs.uk/adults/sexual-health/larc/" TargetMode="External"/><Relationship Id="rId23" Type="http://schemas.openxmlformats.org/officeDocument/2006/relationships/hyperlink" Target="https://www.fsrh.org/Common/Uploaded%20files/documents/fsrh-guideline-emergency-contraception03dec2020-amendedjuly2023-11jul.pdf" TargetMode="External"/><Relationship Id="rId28" Type="http://schemas.openxmlformats.org/officeDocument/2006/relationships/hyperlink" Target="https://remedy.bnssg.icb.nhs.uk/adults/sexual-health/" TargetMode="External"/><Relationship Id="rId36" Type="http://schemas.openxmlformats.org/officeDocument/2006/relationships/hyperlink" Target="https://www.cipfa.org/services/cipfastats/nearest-neighbour-model" TargetMode="External"/><Relationship Id="rId49" Type="http://schemas.openxmlformats.org/officeDocument/2006/relationships/hyperlink" Target="https://www.bashh.org/_userfiles/pages/files/resources/children_and_yp_2021.pdf"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ristolsafeguarding.org/media/1183/fraserbichard.pdf" TargetMode="External"/><Relationship Id="rId31" Type="http://schemas.openxmlformats.org/officeDocument/2006/relationships/hyperlink" Target="https://www.fsrh.org/Public/Public/Education-and-Training/letter-of-competence-subdermal-implants-loc-sdi.aspx" TargetMode="External"/><Relationship Id="rId44" Type="http://schemas.openxmlformats.org/officeDocument/2006/relationships/hyperlink" Target="https://www.gov.uk/government/publications/establishing-youth-friendly-health-and-care-services" TargetMode="External"/><Relationship Id="rId52" Type="http://schemas.openxmlformats.org/officeDocument/2006/relationships/hyperlink" Target="https://remedy.bnssg.icb.nhs.uk/adults/sexual-health/gonorrhoe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rh.org/Common/Uploaded%20files/documents/fsrh-clinical-guideline-intrauterine-contraception-mar-23-amended.pdf" TargetMode="External"/><Relationship Id="rId22" Type="http://schemas.openxmlformats.org/officeDocument/2006/relationships/hyperlink" Target="https://www.fsrh.org/Public/Standards-and-Guidance/Method-Specific.aspx" TargetMode="External"/><Relationship Id="rId27" Type="http://schemas.openxmlformats.org/officeDocument/2006/relationships/hyperlink" Target="https://www.bashh.org/resources/38/sexual_history_taking_2019" TargetMode="External"/><Relationship Id="rId30" Type="http://schemas.openxmlformats.org/officeDocument/2006/relationships/hyperlink" Target="http://www.england.nhs.uk/patient-safety/patient-safety-insight/learning-from-patient-safety-events/" TargetMode="External"/><Relationship Id="rId35" Type="http://schemas.openxmlformats.org/officeDocument/2006/relationships/hyperlink" Target="mailto:kate.blakley@n-somerset.gov.uk" TargetMode="External"/><Relationship Id="rId43" Type="http://schemas.openxmlformats.org/officeDocument/2006/relationships/hyperlink" Target="https://bristolsafeguarding.org/media/1183/fraserbichard.pdf" TargetMode="External"/><Relationship Id="rId48" Type="http://schemas.openxmlformats.org/officeDocument/2006/relationships/hyperlink" Target="https://www.gov.uk/government/publications/ncsp-programme-overview/ncsp-programme-overview"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cks.nice.org.uk/topics/gonorrhoea/" TargetMode="External"/><Relationship Id="rId3" Type="http://schemas.openxmlformats.org/officeDocument/2006/relationships/customXml" Target="../customXml/item3.xml"/><Relationship Id="rId12" Type="http://schemas.openxmlformats.org/officeDocument/2006/relationships/hyperlink" Target="mailto:kate.blakley@n-somerset.gov.uk" TargetMode="External"/><Relationship Id="rId17" Type="http://schemas.openxmlformats.org/officeDocument/2006/relationships/hyperlink" Target="https://learning.nspcc.org.uk/child-protection-system/gillick-competence-fraser-guidelines" TargetMode="External"/><Relationship Id="rId25" Type="http://schemas.openxmlformats.org/officeDocument/2006/relationships/hyperlink" Target="https://www.nice.org.uk/guidance/ng221" TargetMode="External"/><Relationship Id="rId33" Type="http://schemas.openxmlformats.org/officeDocument/2006/relationships/hyperlink" Target="https://www.fsrh.org/Public/Membership/Recertification.aspx?WebsiteKey=f858b086-d221-4a83-9688-824162920b1b&amp;69451b5ce7c8=2" TargetMode="External"/><Relationship Id="rId38" Type="http://schemas.openxmlformats.org/officeDocument/2006/relationships/hyperlink" Target="https://www.bashh.org/_userfiles/pages/files/resources/ct2015.pdf" TargetMode="External"/><Relationship Id="rId46" Type="http://schemas.openxmlformats.org/officeDocument/2006/relationships/hyperlink" Target="https://www.bashh.org/_userfiles/pages/files/resources/bashh_summary_guidance_on_stis_testing_2023.pdf"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bnssg.icb.nhs.uk/about-us/the-integrated-care-system-in-bnssg/integrated-care-system-strategy/" TargetMode="External"/><Relationship Id="rId3" Type="http://schemas.openxmlformats.org/officeDocument/2006/relationships/hyperlink" Target="https://n-somerset.gov.uk/council-democracy/priorities-strategies/joint-health-wellbeing-strategy-2025-28" TargetMode="External"/><Relationship Id="rId7" Type="http://schemas.openxmlformats.org/officeDocument/2006/relationships/hyperlink" Target="https://www.gov.uk/government/publications/sexual-and-reproductive-health-and-hiv-applying-all-our-health/sexual-and-reproductive-health-and-hiv-applying-all-our-health" TargetMode="External"/><Relationship Id="rId12" Type="http://schemas.openxmlformats.org/officeDocument/2006/relationships/hyperlink" Target="https://fingertips.phe.org.uk/profile/sexualhealth/data" TargetMode="External"/><Relationship Id="rId2" Type="http://schemas.openxmlformats.org/officeDocument/2006/relationships/hyperlink" Target="https://bnssg.icb.nhs.uk/about-us/the-integrated-care-system-in-bnssg/integrated-care-system-strategy/" TargetMode="External"/><Relationship Id="rId1" Type="http://schemas.openxmlformats.org/officeDocument/2006/relationships/hyperlink" Target="https://www.gov.uk/government/publications/sexual-and-reproductive-health-and-hiv-applying-all-our-health/sexual-and-reproductive-health-and-hiv-applying-all-our-health" TargetMode="External"/><Relationship Id="rId6" Type="http://schemas.openxmlformats.org/officeDocument/2006/relationships/hyperlink" Target="https://fingertips.phe.org.uk/profile/sexualhealth/data" TargetMode="External"/><Relationship Id="rId11" Type="http://schemas.openxmlformats.org/officeDocument/2006/relationships/hyperlink" Target="https://www.adph.org.uk/wp-content/uploads/2016/09/Interpreting-the-ringfenced-grant-conditions-and-mandateGATEWAY.pdf" TargetMode="External"/><Relationship Id="rId5" Type="http://schemas.openxmlformats.org/officeDocument/2006/relationships/hyperlink" Target="https://www.adph.org.uk/wp-content/uploads/2016/09/Interpreting-the-ringfenced-grant-conditions-and-mandateGATEWAY.pdf" TargetMode="External"/><Relationship Id="rId10" Type="http://schemas.openxmlformats.org/officeDocument/2006/relationships/hyperlink" Target="https://n-somerset.gov.uk/sites/default/files/2024-04/corporate%20plan%202024-28.pdf" TargetMode="External"/><Relationship Id="rId4" Type="http://schemas.openxmlformats.org/officeDocument/2006/relationships/hyperlink" Target="https://n-somerset.gov.uk/sites/default/files/2024-04/corporate%20plan%202024-28.pdf" TargetMode="External"/><Relationship Id="rId9" Type="http://schemas.openxmlformats.org/officeDocument/2006/relationships/hyperlink" Target="https://n-somerset.gov.uk/council-democracy/priorities-strategies/joint-health-wellbeing-strategy-202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523472671d44ba3d96fa47ea2aad77bc">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51a8cfb034c89be3f54a3f2be64dcce6"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78d80d-5092-40ee-97ea-ceb9e24b41f0" xsi:nil="true"/>
    <lcf76f155ced4ddcb4097134ff3c332f xmlns="9d708b0b-ccb6-48b0-afcd-7f32bfb1ea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674A9-4239-4A25-B5CE-5D20A5027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9A111-3A61-4568-A520-E31C98CA7DB2}">
  <ds:schemaRefs>
    <ds:schemaRef ds:uri="http://schemas.openxmlformats.org/officeDocument/2006/bibliography"/>
  </ds:schemaRefs>
</ds:datastoreItem>
</file>

<file path=customXml/itemProps3.xml><?xml version="1.0" encoding="utf-8"?>
<ds:datastoreItem xmlns:ds="http://schemas.openxmlformats.org/officeDocument/2006/customXml" ds:itemID="{C1453A59-09AB-4F13-B299-0886604F1FD8}">
  <ds:schemaRefs>
    <ds:schemaRef ds:uri="http://schemas.microsoft.com/sharepoint/v3/contenttype/forms"/>
  </ds:schemaRefs>
</ds:datastoreItem>
</file>

<file path=customXml/itemProps4.xml><?xml version="1.0" encoding="utf-8"?>
<ds:datastoreItem xmlns:ds="http://schemas.openxmlformats.org/officeDocument/2006/customXml" ds:itemID="{72F02CFB-B555-4F4B-B3E5-E2CC6BA886BC}">
  <ds:schemaRefs>
    <ds:schemaRef ds:uri="http://schemas.microsoft.com/office/2006/metadata/properties"/>
    <ds:schemaRef ds:uri="http://schemas.microsoft.com/office/infopath/2007/PartnerControls"/>
    <ds:schemaRef ds:uri="7578d80d-5092-40ee-97ea-ceb9e24b41f0"/>
    <ds:schemaRef ds:uri="9d708b0b-ccb6-48b0-afcd-7f32bfb1eae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4828</Words>
  <Characters>27525</Characters>
  <Application>Microsoft Office Word</Application>
  <DocSecurity>0</DocSecurity>
  <Lines>229</Lines>
  <Paragraphs>64</Paragraphs>
  <ScaleCrop>false</ScaleCrop>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Hayward</dc:creator>
  <cp:keywords/>
  <dc:description/>
  <cp:lastModifiedBy>Kate Blakley</cp:lastModifiedBy>
  <cp:revision>55</cp:revision>
  <dcterms:created xsi:type="dcterms:W3CDTF">2025-07-29T12:31:00Z</dcterms:created>
  <dcterms:modified xsi:type="dcterms:W3CDTF">2025-09-19T09:54:00Z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0x01010049FBAF2B9210C548A9344B7B0A856CF4</vt:lpwstr>
  </property>
  <property fmtid="{D5CDD505-2E9C-101B-9397-08002B2CF9AE}" pid="3" name="MediaServiceImageTags">
    <vt:lpwstr/>
  </property>
</Properties>
</file>